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7B" w:rsidRDefault="000B217B" w:rsidP="00872B41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E4393" w:rsidRDefault="00DE4393" w:rsidP="00872B41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УТВЕРЖДЕНА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администрации</w:t>
      </w:r>
    </w:p>
    <w:p w:rsidR="00DE4393" w:rsidRDefault="000B217B" w:rsidP="000B217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</w:t>
      </w:r>
      <w:r w:rsidR="00DE4393">
        <w:rPr>
          <w:rFonts w:ascii="Times New Roman" w:hAnsi="Times New Roman" w:cs="Times New Roman"/>
          <w:b w:val="0"/>
          <w:bCs w:val="0"/>
          <w:sz w:val="28"/>
          <w:szCs w:val="28"/>
        </w:rPr>
        <w:t>Запорожского сельского поселения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424671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0</w:t>
      </w:r>
      <w:r w:rsidR="002424BC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</w:t>
      </w:r>
      <w:r w:rsidR="00755D33" w:rsidRPr="00755D33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.1</w:t>
      </w:r>
      <w:r w:rsidR="00424671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</w:t>
      </w:r>
      <w:r w:rsidR="00755D33" w:rsidRPr="00755D33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.20</w:t>
      </w:r>
      <w:r w:rsidR="00A459E5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2</w:t>
      </w:r>
      <w:r w:rsidR="002424BC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</w:t>
      </w:r>
      <w:r w:rsidR="003D6804" w:rsidRPr="003D68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2424BC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187</w:t>
      </w:r>
    </w:p>
    <w:p w:rsidR="00DE4393" w:rsidRDefault="00DE4393" w:rsidP="001264F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A1724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 программа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DE4393" w:rsidRDefault="00DE4393" w:rsidP="0059270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0B217B" w:rsidRPr="00A17248" w:rsidRDefault="00A17248" w:rsidP="00A17248">
      <w:pPr>
        <w:pStyle w:val="a3"/>
        <w:ind w:firstLine="851"/>
        <w:jc w:val="left"/>
        <w:rPr>
          <w:b w:val="0"/>
          <w:bCs w:val="0"/>
          <w:caps w:val="0"/>
        </w:rPr>
      </w:pPr>
      <w:r w:rsidRPr="00A17248">
        <w:rPr>
          <w:b w:val="0"/>
          <w:bCs w:val="0"/>
          <w:caps w:val="0"/>
        </w:rPr>
        <w:t>Структура программы</w:t>
      </w:r>
      <w:r>
        <w:rPr>
          <w:b w:val="0"/>
          <w:bCs w:val="0"/>
          <w:caps w:val="0"/>
        </w:rPr>
        <w:t>:</w:t>
      </w:r>
    </w:p>
    <w:p w:rsidR="002D0C2E" w:rsidRPr="00DC3A21" w:rsidRDefault="002D0C2E" w:rsidP="00A17248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2D0C2E" w:rsidRPr="00C07957" w:rsidRDefault="002D0C2E" w:rsidP="000B217B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852FF9" w:rsidRPr="00852FF9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2B41"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="00852FF9" w:rsidRPr="00852FF9">
        <w:rPr>
          <w:sz w:val="28"/>
          <w:szCs w:val="28"/>
        </w:rPr>
        <w:t>Характеристика 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  <w:r w:rsidR="00852FF9">
        <w:rPr>
          <w:sz w:val="28"/>
          <w:szCs w:val="28"/>
        </w:rPr>
        <w:t>.</w:t>
      </w:r>
    </w:p>
    <w:p w:rsidR="002D0C2E" w:rsidRPr="00DC3A21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2B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2B41">
        <w:rPr>
          <w:sz w:val="28"/>
          <w:szCs w:val="28"/>
        </w:rPr>
        <w:t xml:space="preserve">  </w:t>
      </w: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872B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57CF6">
        <w:rPr>
          <w:sz w:val="28"/>
          <w:szCs w:val="28"/>
        </w:rPr>
        <w:t xml:space="preserve">  </w:t>
      </w:r>
      <w:r w:rsidRPr="00414F2E">
        <w:rPr>
          <w:sz w:val="28"/>
          <w:szCs w:val="28"/>
        </w:rPr>
        <w:t xml:space="preserve">6. Механизм реализации муниципальной программы и контроль </w:t>
      </w:r>
      <w:proofErr w:type="gramStart"/>
      <w:r w:rsidRPr="00414F2E">
        <w:rPr>
          <w:sz w:val="28"/>
          <w:szCs w:val="28"/>
        </w:rPr>
        <w:t>за</w:t>
      </w:r>
      <w:proofErr w:type="gramEnd"/>
      <w:r w:rsidRPr="00414F2E">
        <w:rPr>
          <w:sz w:val="28"/>
          <w:szCs w:val="28"/>
        </w:rPr>
        <w:t xml:space="preserve"> </w:t>
      </w:r>
      <w:proofErr w:type="gramStart"/>
      <w:r w:rsidRPr="00414F2E">
        <w:rPr>
          <w:sz w:val="28"/>
          <w:szCs w:val="28"/>
        </w:rPr>
        <w:t>ее</w:t>
      </w:r>
      <w:proofErr w:type="gramEnd"/>
      <w:r w:rsidRPr="00414F2E">
        <w:rPr>
          <w:sz w:val="28"/>
          <w:szCs w:val="28"/>
        </w:rPr>
        <w:t xml:space="preserve"> выполнением</w:t>
      </w:r>
      <w:r>
        <w:rPr>
          <w:sz w:val="28"/>
          <w:szCs w:val="28"/>
        </w:rPr>
        <w:t>.</w:t>
      </w:r>
    </w:p>
    <w:p w:rsidR="002D0C2E" w:rsidRDefault="002D0C2E" w:rsidP="00872B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p w:rsidR="00836990" w:rsidRDefault="00836990" w:rsidP="00836990">
      <w:pPr>
        <w:jc w:val="center"/>
        <w:rPr>
          <w:b/>
          <w:sz w:val="28"/>
          <w:szCs w:val="28"/>
        </w:rPr>
      </w:pPr>
    </w:p>
    <w:p w:rsidR="00836990" w:rsidRDefault="00836990" w:rsidP="00836990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Pr="001B7EA2">
        <w:rPr>
          <w:b/>
          <w:sz w:val="28"/>
          <w:szCs w:val="28"/>
        </w:rPr>
        <w:t xml:space="preserve"> </w:t>
      </w:r>
      <w:r w:rsidRPr="00937B5A">
        <w:rPr>
          <w:b/>
          <w:sz w:val="28"/>
          <w:szCs w:val="28"/>
        </w:rPr>
        <w:t xml:space="preserve">ПАСПОРТ </w:t>
      </w:r>
    </w:p>
    <w:p w:rsidR="00836990" w:rsidRPr="001B7EA2" w:rsidRDefault="00A17248" w:rsidP="00836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836990">
        <w:rPr>
          <w:b/>
          <w:sz w:val="28"/>
          <w:szCs w:val="28"/>
        </w:rPr>
        <w:t>униципальной программы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836990" w:rsidRPr="00937B5A" w:rsidRDefault="00836990" w:rsidP="0083699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0"/>
        <w:gridCol w:w="5007"/>
      </w:tblGrid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Pr>
              <w:rPr>
                <w:lang w:val="en-US"/>
              </w:rPr>
            </w:pPr>
            <w:r w:rsidRPr="00755D33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 xml:space="preserve">Начальник общего отдела администрации Запорожского сельского поселения Темрюкского района 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>Администрация Запорожского сельского поселения Темрюкского района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Цели муниципальной программы</w:t>
            </w:r>
          </w:p>
          <w:p w:rsidR="00836990" w:rsidRPr="00755D33" w:rsidRDefault="00836990" w:rsidP="00151223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Pr>
              <w:jc w:val="both"/>
            </w:pPr>
            <w:proofErr w:type="gramStart"/>
            <w:r w:rsidRPr="00755D33">
              <w:t xml:space="preserve">- поддержка деятельности территориального общественного самоуправления на территории Запорожского 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</w:t>
            </w:r>
            <w:r w:rsidRPr="00755D33">
              <w:lastRenderedPageBreak/>
              <w:t xml:space="preserve">помещений,  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значения; </w:t>
            </w:r>
            <w:proofErr w:type="gramEnd"/>
          </w:p>
          <w:p w:rsidR="00836990" w:rsidRPr="00755D33" w:rsidRDefault="00836990" w:rsidP="00151223">
            <w:pPr>
              <w:jc w:val="both"/>
            </w:pPr>
            <w:r w:rsidRPr="00755D33">
              <w:t xml:space="preserve">- содействие формированию институтов гражданского общества на территории Запорожского сельского поселения Темрюкского района 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lastRenderedPageBreak/>
              <w:t>Задачи муниципальной программы</w:t>
            </w:r>
          </w:p>
          <w:p w:rsidR="00836990" w:rsidRPr="00755D33" w:rsidRDefault="00836990" w:rsidP="00151223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Pr>
              <w:jc w:val="both"/>
            </w:pPr>
            <w:r w:rsidRPr="00755D33">
              <w:t xml:space="preserve">-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района; </w:t>
            </w:r>
          </w:p>
          <w:p w:rsidR="00836990" w:rsidRPr="00755D33" w:rsidRDefault="00836990" w:rsidP="00151223">
            <w:pPr>
              <w:jc w:val="both"/>
            </w:pPr>
            <w:r w:rsidRPr="00755D33">
              <w:t xml:space="preserve">- формирование </w:t>
            </w:r>
            <w:proofErr w:type="gramStart"/>
            <w:r w:rsidRPr="00755D33">
              <w:t>механизмов конструктивного сотрудничества органов местного самоуправления Запорожского сельского поселения Темрюкского района</w:t>
            </w:r>
            <w:proofErr w:type="gramEnd"/>
            <w:r w:rsidRPr="00755D33">
              <w:t xml:space="preserve"> и органов территориального общественного самоуправления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Pr>
              <w:jc w:val="both"/>
            </w:pPr>
            <w:r w:rsidRPr="00755D33">
              <w:t>Компенсационные выплат</w:t>
            </w:r>
            <w:r w:rsidR="00EF7DA4" w:rsidRPr="00755D33">
              <w:t>ы руководителям  органов ТОС</w:t>
            </w:r>
          </w:p>
          <w:p w:rsidR="00836990" w:rsidRPr="00755D33" w:rsidRDefault="00836990" w:rsidP="00151223">
            <w:pPr>
              <w:jc w:val="both"/>
            </w:pPr>
            <w:r w:rsidRPr="00755D33">
              <w:t>Проведение отчетов о своей работе на собраниях, конференциях представителей граждан;</w:t>
            </w:r>
          </w:p>
          <w:p w:rsidR="00836990" w:rsidRPr="00755D33" w:rsidRDefault="00836990" w:rsidP="00151223">
            <w:pPr>
              <w:jc w:val="both"/>
            </w:pPr>
            <w:r w:rsidRPr="00755D33">
              <w:t>Организация работ по благоустройству, озеленению, улучшению санитарного и экологического состояния территорий.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2424BC">
            <w:pPr>
              <w:jc w:val="both"/>
            </w:pPr>
            <w:r w:rsidRPr="00755D33">
              <w:t>20</w:t>
            </w:r>
            <w:r w:rsidR="00287C15">
              <w:t>2</w:t>
            </w:r>
            <w:r w:rsidR="002424BC">
              <w:t>2</w:t>
            </w:r>
            <w:r w:rsidRPr="00755D33">
              <w:t xml:space="preserve"> год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>Объемы бюджетных ассигнований муниципальной программы</w:t>
            </w:r>
          </w:p>
          <w:p w:rsidR="00836990" w:rsidRPr="00755D33" w:rsidRDefault="00836990" w:rsidP="00151223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23540">
            <w:pPr>
              <w:jc w:val="both"/>
            </w:pPr>
            <w:r w:rsidRPr="00755D33">
              <w:t xml:space="preserve">Объем финансирования из средств местного  бюджета составляет: </w:t>
            </w:r>
            <w:r w:rsidR="00823540">
              <w:t>397,4</w:t>
            </w:r>
            <w:r w:rsidR="00EF7DA4" w:rsidRPr="00755D33">
              <w:t xml:space="preserve"> </w:t>
            </w:r>
            <w:r w:rsidRPr="00755D33">
              <w:t xml:space="preserve"> рублей</w:t>
            </w:r>
            <w:r w:rsidR="00EF7DA4" w:rsidRPr="00755D33">
              <w:t>.</w:t>
            </w:r>
          </w:p>
        </w:tc>
      </w:tr>
      <w:tr w:rsidR="00836990" w:rsidRPr="00755D33" w:rsidTr="0015122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proofErr w:type="gramStart"/>
            <w:r w:rsidRPr="00755D33">
              <w:t>Контроль за</w:t>
            </w:r>
            <w:proofErr w:type="gramEnd"/>
            <w:r w:rsidRPr="00755D33"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151223">
            <w:r w:rsidRPr="00755D33">
              <w:t xml:space="preserve">Администрация </w:t>
            </w:r>
            <w:r w:rsidR="00EF7DA4" w:rsidRPr="00755D33">
              <w:t xml:space="preserve"> Запорожского </w:t>
            </w:r>
            <w:r w:rsidRPr="00755D33">
              <w:t xml:space="preserve">сельского поселения Темрюкского района; </w:t>
            </w:r>
          </w:p>
          <w:p w:rsidR="00836990" w:rsidRPr="00755D33" w:rsidRDefault="00836990" w:rsidP="00151223">
            <w:r w:rsidRPr="00755D33">
              <w:t xml:space="preserve">Совет </w:t>
            </w:r>
            <w:r w:rsidR="00EF7DA4" w:rsidRPr="00755D33">
              <w:t xml:space="preserve">Запорожского </w:t>
            </w:r>
            <w:r w:rsidRPr="00755D33">
              <w:t xml:space="preserve"> сельского поселения Темрюкского района</w:t>
            </w:r>
          </w:p>
        </w:tc>
      </w:tr>
    </w:tbl>
    <w:p w:rsidR="00DC4E78" w:rsidRDefault="00DC4E78" w:rsidP="00DC4E78">
      <w:pPr>
        <w:rPr>
          <w:b/>
          <w:sz w:val="28"/>
          <w:szCs w:val="28"/>
        </w:rPr>
      </w:pPr>
    </w:p>
    <w:p w:rsidR="00EF7DA4" w:rsidRPr="00414F2E" w:rsidRDefault="00EF7DA4" w:rsidP="00EF7DA4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II. Содержание муниципальной программы</w:t>
      </w:r>
    </w:p>
    <w:p w:rsidR="00EF7DA4" w:rsidRDefault="00EF7DA4" w:rsidP="00EF7DA4">
      <w:pPr>
        <w:jc w:val="center"/>
        <w:rPr>
          <w:b/>
          <w:sz w:val="28"/>
          <w:szCs w:val="28"/>
        </w:rPr>
      </w:pPr>
    </w:p>
    <w:p w:rsidR="00EF7DA4" w:rsidRDefault="00EF7DA4" w:rsidP="00A17248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896527">
        <w:rPr>
          <w:b/>
          <w:sz w:val="28"/>
          <w:szCs w:val="28"/>
        </w:rPr>
        <w:t xml:space="preserve">Характеристика </w:t>
      </w:r>
      <w:r w:rsidRPr="00414F2E">
        <w:rPr>
          <w:b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A17248" w:rsidRDefault="00A17248" w:rsidP="00A17248">
      <w:pPr>
        <w:jc w:val="both"/>
        <w:rPr>
          <w:b/>
          <w:sz w:val="28"/>
          <w:szCs w:val="28"/>
        </w:rPr>
      </w:pPr>
    </w:p>
    <w:p w:rsidR="00EF7DA4" w:rsidRDefault="00EF7DA4" w:rsidP="00A1724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 xml:space="preserve">Будучи одной из форм прямого участия граждан в решении вопросов местного значения, система территориального общественного самоуправления </w:t>
      </w:r>
      <w:r w:rsidRPr="008771B9">
        <w:rPr>
          <w:sz w:val="28"/>
          <w:szCs w:val="28"/>
        </w:rPr>
        <w:lastRenderedPageBreak/>
        <w:t>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EF7DA4" w:rsidRPr="00D03AB5" w:rsidRDefault="00EF7DA4" w:rsidP="00EF7DA4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EF7DA4" w:rsidRPr="007E5C51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 xml:space="preserve">рудно назвать ту сферу деятельности, где бы </w:t>
      </w:r>
      <w:proofErr w:type="spellStart"/>
      <w:r w:rsidRPr="003C549E">
        <w:rPr>
          <w:sz w:val="28"/>
          <w:szCs w:val="28"/>
        </w:rPr>
        <w:t>Т</w:t>
      </w:r>
      <w:r>
        <w:rPr>
          <w:sz w:val="28"/>
          <w:szCs w:val="28"/>
        </w:rPr>
        <w:t>ОСы</w:t>
      </w:r>
      <w:proofErr w:type="spellEnd"/>
      <w:r>
        <w:rPr>
          <w:sz w:val="28"/>
          <w:szCs w:val="28"/>
        </w:rPr>
        <w:t xml:space="preserve">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состояния территории. </w:t>
      </w:r>
      <w:r>
        <w:rPr>
          <w:sz w:val="28"/>
          <w:szCs w:val="28"/>
        </w:rPr>
        <w:t>Руководители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 xml:space="preserve">Руководители органов ТОС осуществляют общественный </w:t>
      </w:r>
      <w:proofErr w:type="gramStart"/>
      <w:r w:rsidRPr="007E5C51">
        <w:rPr>
          <w:sz w:val="28"/>
          <w:szCs w:val="28"/>
        </w:rPr>
        <w:t>контроль за</w:t>
      </w:r>
      <w:proofErr w:type="gramEnd"/>
      <w:r w:rsidRPr="007E5C51">
        <w:rPr>
          <w:sz w:val="28"/>
          <w:szCs w:val="28"/>
        </w:rPr>
        <w:t xml:space="preserve">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EF7DA4" w:rsidRPr="00E8463E" w:rsidRDefault="00EF7DA4" w:rsidP="00EF7DA4">
      <w:pPr>
        <w:ind w:right="-45" w:firstLine="851"/>
        <w:jc w:val="both"/>
        <w:rPr>
          <w:sz w:val="28"/>
          <w:szCs w:val="28"/>
        </w:rPr>
      </w:pPr>
      <w:proofErr w:type="spellStart"/>
      <w:r w:rsidRPr="00AD0DF2">
        <w:rPr>
          <w:sz w:val="28"/>
          <w:szCs w:val="28"/>
        </w:rPr>
        <w:t>ТОСовцы</w:t>
      </w:r>
      <w:proofErr w:type="spellEnd"/>
      <w:r w:rsidRPr="00AD0DF2">
        <w:rPr>
          <w:sz w:val="28"/>
          <w:szCs w:val="28"/>
        </w:rPr>
        <w:t xml:space="preserve">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 xml:space="preserve">ний при администрации Запорожского </w:t>
      </w:r>
      <w:r w:rsidRPr="00937B5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EF7DA4" w:rsidRDefault="00EF7DA4" w:rsidP="00EF7DA4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</w:t>
      </w:r>
      <w:r w:rsidR="00F1253C">
        <w:rPr>
          <w:sz w:val="28"/>
          <w:szCs w:val="28"/>
        </w:rPr>
        <w:t>О</w:t>
      </w:r>
      <w:r w:rsidRPr="00AD0DF2">
        <w:rPr>
          <w:sz w:val="28"/>
          <w:szCs w:val="28"/>
        </w:rPr>
        <w:t xml:space="preserve">рганы ТОС, имея сведения о проживающих на их территориях гражданах, представляют их для формирования базы 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EF7DA4" w:rsidRPr="00E8463E" w:rsidRDefault="00EF7DA4" w:rsidP="00EF7DA4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EF7DA4" w:rsidRPr="002B3F80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1253C">
        <w:rPr>
          <w:sz w:val="28"/>
          <w:szCs w:val="28"/>
        </w:rPr>
        <w:t>Запорожском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37B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и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="00F125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работает </w:t>
      </w:r>
      <w:r w:rsidR="00F1253C">
        <w:rPr>
          <w:sz w:val="28"/>
          <w:szCs w:val="28"/>
        </w:rPr>
        <w:t xml:space="preserve">6  человек, </w:t>
      </w:r>
      <w:r>
        <w:rPr>
          <w:sz w:val="28"/>
          <w:szCs w:val="28"/>
        </w:rPr>
        <w:t xml:space="preserve">во главе которых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t xml:space="preserve">высокопрофессиональные председатели первичной структуры местного </w:t>
      </w:r>
      <w:r w:rsidRPr="00FA1106">
        <w:rPr>
          <w:rStyle w:val="apple-style-span"/>
          <w:sz w:val="28"/>
          <w:szCs w:val="28"/>
        </w:rPr>
        <w:lastRenderedPageBreak/>
        <w:t>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F1253C" w:rsidRDefault="00EF7DA4" w:rsidP="00A17248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 w:rsidR="00F1253C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F1253C" w:rsidRDefault="00F1253C" w:rsidP="00EF7DA4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F1253C" w:rsidRPr="00414F2E" w:rsidRDefault="00F1253C" w:rsidP="000B217B">
      <w:pPr>
        <w:pStyle w:val="1"/>
        <w:numPr>
          <w:ilvl w:val="0"/>
          <w:numId w:val="3"/>
        </w:numPr>
        <w:tabs>
          <w:tab w:val="clear" w:pos="720"/>
          <w:tab w:val="num" w:pos="0"/>
        </w:tabs>
        <w:ind w:left="0" w:right="-1" w:firstLine="0"/>
        <w:jc w:val="center"/>
        <w:rPr>
          <w:b/>
          <w:szCs w:val="28"/>
        </w:rPr>
      </w:pPr>
      <w:r w:rsidRPr="00414F2E">
        <w:rPr>
          <w:b/>
          <w:szCs w:val="28"/>
        </w:rPr>
        <w:t>Цели, задачи и целевые показатели, сроки и этапы реализации муниципальной программы</w:t>
      </w:r>
    </w:p>
    <w:p w:rsidR="00F1253C" w:rsidRDefault="00F1253C" w:rsidP="00A17248">
      <w:pPr>
        <w:jc w:val="both"/>
        <w:rPr>
          <w:sz w:val="28"/>
          <w:szCs w:val="28"/>
        </w:rPr>
      </w:pP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цели п</w:t>
      </w:r>
      <w:r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состоят в осуществлении поддержки деятельности территориального общественного самоуправления на территории </w:t>
      </w:r>
      <w:r w:rsidR="00E75E7E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 xml:space="preserve">варов, на приобретение топлива; </w:t>
      </w:r>
      <w:proofErr w:type="gramStart"/>
      <w:r>
        <w:rPr>
          <w:sz w:val="28"/>
          <w:szCs w:val="28"/>
        </w:rPr>
        <w:t>совершенствовании</w:t>
      </w:r>
      <w:r w:rsidRPr="00445DD1">
        <w:rPr>
          <w:sz w:val="28"/>
          <w:szCs w:val="28"/>
        </w:rPr>
        <w:t xml:space="preserve"> работы территориального общественного самоуправления по самоорганизации граждан на территории их проживания для самостоятельного и под св</w:t>
      </w:r>
      <w:r>
        <w:rPr>
          <w:sz w:val="28"/>
          <w:szCs w:val="28"/>
        </w:rPr>
        <w:t>ою ответственность осуществления</w:t>
      </w:r>
      <w:r w:rsidRPr="00445DD1">
        <w:rPr>
          <w:sz w:val="28"/>
          <w:szCs w:val="28"/>
        </w:rPr>
        <w:t xml:space="preserve"> собственных инициати</w:t>
      </w:r>
      <w:r>
        <w:rPr>
          <w:sz w:val="28"/>
          <w:szCs w:val="28"/>
        </w:rPr>
        <w:t>в по вопросам местного значения, и, как следствие, содействии в</w:t>
      </w:r>
      <w:r>
        <w:rPr>
          <w:i/>
          <w:color w:val="FF0000"/>
          <w:sz w:val="28"/>
          <w:szCs w:val="28"/>
        </w:rPr>
        <w:t xml:space="preserve"> </w:t>
      </w:r>
      <w:r w:rsidRPr="00B47BF3">
        <w:rPr>
          <w:sz w:val="28"/>
          <w:szCs w:val="28"/>
        </w:rPr>
        <w:t xml:space="preserve">формировании институтов гражданского общества на территории муниципального образования. </w:t>
      </w:r>
      <w:proofErr w:type="gramEnd"/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F1253C" w:rsidRDefault="00F1253C" w:rsidP="00F1253C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повышение эффективности деятельности</w:t>
      </w:r>
      <w:r w:rsidRPr="00445DD1">
        <w:rPr>
          <w:rFonts w:ascii="Times New Roman" w:hAnsi="Times New Roman"/>
          <w:sz w:val="28"/>
          <w:szCs w:val="28"/>
        </w:rPr>
        <w:t xml:space="preserve"> территориального общественного самоуправления </w:t>
      </w:r>
      <w:r>
        <w:rPr>
          <w:rFonts w:ascii="Times New Roman" w:hAnsi="Times New Roman"/>
          <w:sz w:val="28"/>
          <w:szCs w:val="28"/>
        </w:rPr>
        <w:t>по следующим направлениям</w:t>
      </w:r>
      <w:r w:rsidRPr="00445DD1">
        <w:rPr>
          <w:rFonts w:ascii="Times New Roman" w:hAnsi="Times New Roman"/>
          <w:sz w:val="28"/>
          <w:szCs w:val="28"/>
        </w:rPr>
        <w:t>: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среда обитания;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социальная защита и поддержка населения;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формирование среды безопасного проживания и жизнедеятельности населения;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патриотическое воспитание и работа с молодежью</w:t>
      </w:r>
      <w:r>
        <w:rPr>
          <w:sz w:val="28"/>
          <w:szCs w:val="28"/>
        </w:rPr>
        <w:t xml:space="preserve">; 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3D6538">
        <w:rPr>
          <w:sz w:val="28"/>
          <w:szCs w:val="28"/>
        </w:rPr>
        <w:t>ормирование здорового образа жизни;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538">
        <w:rPr>
          <w:rFonts w:ascii="Times New Roman" w:hAnsi="Times New Roman" w:cs="Times New Roman"/>
          <w:sz w:val="28"/>
          <w:szCs w:val="28"/>
        </w:rPr>
        <w:t>-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 и и</w:t>
      </w:r>
      <w:r w:rsidRPr="003D6538">
        <w:rPr>
          <w:rFonts w:ascii="Times New Roman" w:hAnsi="Times New Roman" w:cs="Times New Roman"/>
          <w:sz w:val="28"/>
          <w:szCs w:val="28"/>
        </w:rPr>
        <w:t>нформационно-разъяснительная работа среди населения.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механизмов конструктивного сотрудничества органов </w:t>
      </w:r>
      <w:r w:rsidRPr="007F2A2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75E7E">
        <w:rPr>
          <w:rFonts w:ascii="Times New Roman" w:hAnsi="Times New Roman" w:cs="Times New Roman"/>
          <w:sz w:val="28"/>
          <w:szCs w:val="28"/>
        </w:rPr>
        <w:t>Запорожского</w:t>
      </w:r>
      <w:r w:rsidRPr="007F2A2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5C1213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5C1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органов территориального общественного самоуправления. </w:t>
      </w:r>
    </w:p>
    <w:p w:rsidR="00F1253C" w:rsidRPr="00C07957" w:rsidRDefault="00F1253C" w:rsidP="00F1253C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lastRenderedPageBreak/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0B217B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0B217B">
        <w:rPr>
          <w:color w:val="000000" w:themeColor="text1"/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C57CF6" w:rsidRPr="00743C91" w:rsidRDefault="00F1253C" w:rsidP="000B217B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 w:rsidR="00287C15">
        <w:rPr>
          <w:sz w:val="28"/>
          <w:szCs w:val="28"/>
        </w:rPr>
        <w:t>2</w:t>
      </w:r>
      <w:r w:rsidR="00A459E5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1253C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F1253C" w:rsidRPr="00EA325A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муниципальной программы</w:t>
      </w:r>
    </w:p>
    <w:p w:rsidR="00C57CF6" w:rsidRPr="00EA325A" w:rsidRDefault="00C57CF6" w:rsidP="000B217B">
      <w:pPr>
        <w:rPr>
          <w:sz w:val="28"/>
          <w:szCs w:val="28"/>
        </w:rPr>
      </w:pPr>
    </w:p>
    <w:p w:rsidR="00F1253C" w:rsidRPr="00EA325A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F1253C" w:rsidRPr="00743C91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 xml:space="preserve">Компенсационные выплаты руководителям 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4E78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DC4E78">
        <w:rPr>
          <w:color w:val="000000" w:themeColor="text1"/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DC4E78" w:rsidRPr="00743C91" w:rsidRDefault="00DC4E78" w:rsidP="00F1253C">
      <w:pPr>
        <w:ind w:firstLine="851"/>
        <w:jc w:val="both"/>
        <w:rPr>
          <w:sz w:val="28"/>
          <w:szCs w:val="28"/>
        </w:rPr>
      </w:pPr>
    </w:p>
    <w:p w:rsidR="00F1253C" w:rsidRDefault="00F1253C" w:rsidP="00F1253C">
      <w:pPr>
        <w:pStyle w:val="1"/>
        <w:ind w:right="-1"/>
        <w:jc w:val="center"/>
        <w:rPr>
          <w:b/>
          <w:szCs w:val="28"/>
        </w:rPr>
      </w:pPr>
      <w:r w:rsidRPr="001211B7">
        <w:rPr>
          <w:b/>
          <w:szCs w:val="28"/>
        </w:rPr>
        <w:t>4. Обоснование ресурсного обеспечения муниципальной программы</w:t>
      </w:r>
    </w:p>
    <w:p w:rsidR="00F1253C" w:rsidRDefault="00F1253C" w:rsidP="00F1253C"/>
    <w:p w:rsidR="00F1253C" w:rsidRPr="007631C3" w:rsidRDefault="00F1253C" w:rsidP="00DC4E78">
      <w:pPr>
        <w:ind w:firstLine="851"/>
        <w:rPr>
          <w:sz w:val="28"/>
          <w:szCs w:val="28"/>
        </w:rPr>
      </w:pPr>
      <w:r w:rsidRPr="007631C3">
        <w:rPr>
          <w:sz w:val="28"/>
          <w:szCs w:val="28"/>
        </w:rPr>
        <w:t xml:space="preserve"> Объем финансовых средств, выделяемых на реализ</w:t>
      </w:r>
      <w:r w:rsidR="00E75E7E">
        <w:rPr>
          <w:sz w:val="28"/>
          <w:szCs w:val="28"/>
        </w:rPr>
        <w:t>а</w:t>
      </w:r>
      <w:r w:rsidR="00AC2ED6">
        <w:rPr>
          <w:sz w:val="28"/>
          <w:szCs w:val="28"/>
        </w:rPr>
        <w:t xml:space="preserve">цию подпрограммы, составляет </w:t>
      </w:r>
      <w:r w:rsidR="00823540">
        <w:t>397,4</w:t>
      </w:r>
      <w:r w:rsidR="00823540" w:rsidRPr="00755D33">
        <w:t xml:space="preserve">  </w:t>
      </w:r>
      <w:r w:rsidRPr="007631C3">
        <w:rPr>
          <w:sz w:val="28"/>
          <w:szCs w:val="28"/>
        </w:rPr>
        <w:t>рублей, в том числе:</w:t>
      </w:r>
    </w:p>
    <w:p w:rsidR="00F1253C" w:rsidRPr="007631C3" w:rsidRDefault="00DC4E78" w:rsidP="00F125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1253C" w:rsidRPr="007631C3">
        <w:rPr>
          <w:sz w:val="28"/>
          <w:szCs w:val="28"/>
        </w:rPr>
        <w:t xml:space="preserve">из средств местного бюджета – </w:t>
      </w:r>
      <w:r w:rsidR="00823540">
        <w:t>397,4</w:t>
      </w:r>
      <w:r w:rsidR="00823540" w:rsidRPr="00755D33">
        <w:t xml:space="preserve">  </w:t>
      </w:r>
      <w:r w:rsidR="00F1253C" w:rsidRPr="007631C3">
        <w:rPr>
          <w:sz w:val="28"/>
          <w:szCs w:val="28"/>
        </w:rPr>
        <w:t>тыс. рублей:</w:t>
      </w:r>
    </w:p>
    <w:p w:rsidR="00F1253C" w:rsidRPr="007631C3" w:rsidRDefault="00F1253C" w:rsidP="00F1253C"/>
    <w:p w:rsidR="00F1253C" w:rsidRPr="00371E4C" w:rsidRDefault="00F1253C" w:rsidP="00F125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20"/>
        <w:gridCol w:w="2520"/>
      </w:tblGrid>
      <w:tr w:rsidR="00F1253C" w:rsidRPr="008D7420" w:rsidTr="00151223">
        <w:trPr>
          <w:trHeight w:val="1150"/>
        </w:trPr>
        <w:tc>
          <w:tcPr>
            <w:tcW w:w="5508" w:type="dxa"/>
            <w:shd w:val="clear" w:color="auto" w:fill="auto"/>
          </w:tcPr>
          <w:p w:rsidR="00F1253C" w:rsidRPr="00371E4C" w:rsidRDefault="00F1253C" w:rsidP="00151223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151223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F1253C" w:rsidRPr="007631C3" w:rsidRDefault="00F1253C" w:rsidP="00151223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F1253C" w:rsidRPr="00371E4C" w:rsidRDefault="00F1253C" w:rsidP="002424BC">
            <w:pPr>
              <w:jc w:val="center"/>
            </w:pPr>
            <w:r w:rsidRPr="007631C3">
              <w:t xml:space="preserve"> рублей</w:t>
            </w:r>
            <w:r w:rsidR="00AC2ED6">
              <w:t xml:space="preserve"> в 20</w:t>
            </w:r>
            <w:r w:rsidR="00287C15">
              <w:t>2</w:t>
            </w:r>
            <w:r w:rsidR="002424BC">
              <w:t>2</w:t>
            </w:r>
            <w:r>
              <w:t xml:space="preserve"> году</w:t>
            </w:r>
          </w:p>
        </w:tc>
      </w:tr>
      <w:tr w:rsidR="00F1253C" w:rsidRPr="008D7420" w:rsidTr="00151223">
        <w:tc>
          <w:tcPr>
            <w:tcW w:w="5508" w:type="dxa"/>
            <w:shd w:val="clear" w:color="auto" w:fill="auto"/>
          </w:tcPr>
          <w:p w:rsidR="00F1253C" w:rsidRPr="00887BF3" w:rsidRDefault="00F1253C" w:rsidP="00151223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15122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F1253C" w:rsidRPr="00371E4C" w:rsidRDefault="00823540" w:rsidP="00962C9F">
            <w:pPr>
              <w:jc w:val="center"/>
            </w:pPr>
            <w:r>
              <w:t>397,4</w:t>
            </w:r>
            <w:r w:rsidRPr="00755D33">
              <w:t xml:space="preserve">  </w:t>
            </w:r>
          </w:p>
        </w:tc>
      </w:tr>
      <w:tr w:rsidR="00F1253C" w:rsidRPr="000B2C42" w:rsidTr="00151223">
        <w:tc>
          <w:tcPr>
            <w:tcW w:w="5508" w:type="dxa"/>
            <w:shd w:val="clear" w:color="auto" w:fill="auto"/>
          </w:tcPr>
          <w:p w:rsidR="00F1253C" w:rsidRPr="000B2C42" w:rsidRDefault="00F1253C" w:rsidP="00151223">
            <w:pPr>
              <w:jc w:val="both"/>
              <w:rPr>
                <w:b/>
              </w:rPr>
            </w:pPr>
            <w:r w:rsidRPr="000B2C42">
              <w:rPr>
                <w:b/>
              </w:rPr>
              <w:t xml:space="preserve">Итого </w:t>
            </w:r>
          </w:p>
        </w:tc>
        <w:tc>
          <w:tcPr>
            <w:tcW w:w="1620" w:type="dxa"/>
            <w:shd w:val="clear" w:color="auto" w:fill="auto"/>
          </w:tcPr>
          <w:p w:rsidR="00F1253C" w:rsidRPr="000B2C42" w:rsidRDefault="00F1253C" w:rsidP="00151223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F1253C" w:rsidRPr="00823540" w:rsidRDefault="00823540" w:rsidP="00962C9F">
            <w:pPr>
              <w:jc w:val="center"/>
              <w:rPr>
                <w:b/>
              </w:rPr>
            </w:pPr>
            <w:r w:rsidRPr="00823540">
              <w:rPr>
                <w:b/>
              </w:rPr>
              <w:t xml:space="preserve">397,4  </w:t>
            </w:r>
          </w:p>
        </w:tc>
      </w:tr>
    </w:tbl>
    <w:p w:rsidR="00F1253C" w:rsidRDefault="00F1253C" w:rsidP="00F1253C">
      <w:pPr>
        <w:ind w:firstLine="720"/>
        <w:jc w:val="both"/>
        <w:rPr>
          <w:sz w:val="28"/>
          <w:szCs w:val="28"/>
        </w:rPr>
      </w:pP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bookmarkStart w:id="0" w:name="sub_105"/>
      <w:proofErr w:type="gramStart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</w:t>
      </w:r>
      <w:r w:rsidR="00E75E7E">
        <w:rPr>
          <w:sz w:val="28"/>
          <w:szCs w:val="28"/>
        </w:rPr>
        <w:t xml:space="preserve">ческого развития Запорожского </w:t>
      </w:r>
      <w:r>
        <w:rPr>
          <w:sz w:val="28"/>
          <w:szCs w:val="28"/>
        </w:rPr>
        <w:t>сельского поселения Темрюкского района.</w:t>
      </w:r>
      <w:proofErr w:type="gramEnd"/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степени достижения целей и решения задач муниципальной программы;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AC2ED6" w:rsidRPr="00DE58BA" w:rsidRDefault="00AC2ED6" w:rsidP="00DE58BA">
      <w:pPr>
        <w:pStyle w:val="1"/>
        <w:ind w:firstLine="839"/>
        <w:jc w:val="both"/>
        <w:rPr>
          <w:szCs w:val="28"/>
        </w:rPr>
      </w:pPr>
      <w:r w:rsidRPr="00DE58BA">
        <w:rPr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5.4. Оценка степени достижения целей и решения задач подпрограммы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4200" cy="6731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N - число целевых показателей подпрограммы (основного мероприятия).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5.5. Оценка эффективности реализации подпрограммы</w:t>
      </w:r>
    </w:p>
    <w:p w:rsidR="00AC2ED6" w:rsidRPr="000B217B" w:rsidRDefault="00AC2ED6" w:rsidP="000B217B">
      <w:pPr>
        <w:pStyle w:val="1"/>
        <w:ind w:firstLine="839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AC2ED6" w:rsidRPr="00DE58BA" w:rsidRDefault="00AC2ED6" w:rsidP="00DE58BA">
      <w:pPr>
        <w:pStyle w:val="1"/>
        <w:ind w:firstLine="839"/>
        <w:jc w:val="both"/>
        <w:rPr>
          <w:szCs w:val="28"/>
        </w:rPr>
      </w:pPr>
      <w:r w:rsidRPr="00DE58BA">
        <w:rPr>
          <w:szCs w:val="28"/>
        </w:rPr>
        <w:t>5.6. Оценка степени достижения целей и решения задач муниципальной программы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676400" cy="6350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DE58BA" w:rsidRDefault="00AC2ED6" w:rsidP="00DE58BA">
      <w:pPr>
        <w:pStyle w:val="1"/>
        <w:ind w:firstLine="839"/>
        <w:jc w:val="both"/>
        <w:rPr>
          <w:szCs w:val="28"/>
        </w:rPr>
      </w:pPr>
      <w:r w:rsidRPr="00DE58BA">
        <w:rPr>
          <w:szCs w:val="28"/>
        </w:rPr>
        <w:t>5.</w:t>
      </w:r>
      <w:r w:rsidR="0049730F">
        <w:rPr>
          <w:szCs w:val="28"/>
        </w:rPr>
        <w:t>8</w:t>
      </w:r>
      <w:r w:rsidRPr="00DE58BA">
        <w:rPr>
          <w:szCs w:val="28"/>
        </w:rPr>
        <w:t>. Оценка эффективности реализации муниципальной программы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8300" cy="673100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AC2ED6" w:rsidRPr="005871F8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AC2ED6" w:rsidRDefault="00AC2ED6" w:rsidP="00DE58BA">
      <w:pPr>
        <w:ind w:firstLine="839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</w:t>
      </w:r>
      <w:r w:rsidR="003A12A7">
        <w:rPr>
          <w:sz w:val="28"/>
          <w:szCs w:val="28"/>
        </w:rPr>
        <w:t>.</w:t>
      </w:r>
    </w:p>
    <w:bookmarkEnd w:id="0"/>
    <w:p w:rsidR="003A12A7" w:rsidRDefault="003A12A7" w:rsidP="00DE58BA">
      <w:pPr>
        <w:jc w:val="both"/>
        <w:rPr>
          <w:b/>
          <w:sz w:val="28"/>
          <w:szCs w:val="28"/>
        </w:rPr>
      </w:pPr>
    </w:p>
    <w:p w:rsidR="00F1253C" w:rsidRDefault="00F1253C" w:rsidP="003A12A7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ее выполнением</w:t>
      </w:r>
    </w:p>
    <w:p w:rsidR="003A12A7" w:rsidRDefault="003A12A7" w:rsidP="00A17248">
      <w:pPr>
        <w:jc w:val="both"/>
        <w:rPr>
          <w:b/>
          <w:sz w:val="28"/>
          <w:szCs w:val="28"/>
        </w:rPr>
      </w:pP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1253C" w:rsidRDefault="00F1253C" w:rsidP="00DE58BA">
      <w:pPr>
        <w:jc w:val="both"/>
        <w:rPr>
          <w:sz w:val="28"/>
          <w:szCs w:val="28"/>
        </w:rPr>
      </w:pPr>
    </w:p>
    <w:p w:rsidR="0070005B" w:rsidRDefault="0070005B" w:rsidP="00F1253C">
      <w:pPr>
        <w:jc w:val="both"/>
        <w:rPr>
          <w:sz w:val="28"/>
          <w:szCs w:val="28"/>
        </w:rPr>
      </w:pPr>
    </w:p>
    <w:p w:rsidR="00A17248" w:rsidRDefault="00A17248" w:rsidP="00F1253C">
      <w:pPr>
        <w:jc w:val="both"/>
        <w:rPr>
          <w:sz w:val="28"/>
          <w:szCs w:val="28"/>
        </w:rPr>
      </w:pPr>
      <w:bookmarkStart w:id="3" w:name="_GoBack"/>
      <w:bookmarkEnd w:id="3"/>
    </w:p>
    <w:p w:rsidR="00F1253C" w:rsidRPr="003D6804" w:rsidRDefault="003A12A7" w:rsidP="00F1253C">
      <w:p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424671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="00E75E7E" w:rsidRPr="003D6804">
        <w:rPr>
          <w:sz w:val="28"/>
          <w:szCs w:val="28"/>
        </w:rPr>
        <w:t xml:space="preserve"> отдела </w:t>
      </w:r>
      <w:r w:rsidR="0070005B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</w:t>
      </w:r>
      <w:r w:rsidR="000B217B">
        <w:rPr>
          <w:sz w:val="28"/>
          <w:szCs w:val="28"/>
        </w:rPr>
        <w:t xml:space="preserve">          </w:t>
      </w:r>
      <w:r w:rsidR="00424671">
        <w:rPr>
          <w:sz w:val="28"/>
          <w:szCs w:val="28"/>
        </w:rPr>
        <w:t>И.В.Рыбина</w:t>
      </w:r>
    </w:p>
    <w:p w:rsidR="00F1253C" w:rsidRPr="003D6804" w:rsidRDefault="00F1253C" w:rsidP="00F1253C">
      <w:pPr>
        <w:rPr>
          <w:sz w:val="28"/>
          <w:szCs w:val="28"/>
        </w:rPr>
      </w:pPr>
    </w:p>
    <w:p w:rsidR="00EF0379" w:rsidRDefault="00EF0379" w:rsidP="00F125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Pr="00BD7493" w:rsidRDefault="00DE4393" w:rsidP="005927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tabs>
          <w:tab w:val="left" w:pos="7290"/>
        </w:tabs>
        <w:rPr>
          <w:sz w:val="28"/>
          <w:szCs w:val="28"/>
        </w:rPr>
      </w:pPr>
    </w:p>
    <w:sectPr w:rsidR="00DE4393" w:rsidSect="00A17248">
      <w:headerReference w:type="default" r:id="rId12"/>
      <w:pgSz w:w="11906" w:h="16838"/>
      <w:pgMar w:top="426" w:right="707" w:bottom="993" w:left="162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E1" w:rsidRDefault="00803BE1">
      <w:r>
        <w:separator/>
      </w:r>
    </w:p>
  </w:endnote>
  <w:endnote w:type="continuationSeparator" w:id="0">
    <w:p w:rsidR="00803BE1" w:rsidRDefault="0080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E1" w:rsidRDefault="00803BE1">
      <w:r>
        <w:separator/>
      </w:r>
    </w:p>
  </w:footnote>
  <w:footnote w:type="continuationSeparator" w:id="0">
    <w:p w:rsidR="00803BE1" w:rsidRDefault="00803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93" w:rsidRDefault="009C364E" w:rsidP="000B217B">
    <w:pPr>
      <w:pStyle w:val="a5"/>
      <w:framePr w:wrap="auto" w:vAnchor="text" w:hAnchor="margin" w:xAlign="center" w:y="1"/>
      <w:jc w:val="center"/>
      <w:rPr>
        <w:rStyle w:val="a7"/>
        <w:sz w:val="28"/>
        <w:szCs w:val="28"/>
      </w:rPr>
    </w:pPr>
    <w:r w:rsidRPr="00C57CF6">
      <w:rPr>
        <w:rStyle w:val="a7"/>
        <w:sz w:val="28"/>
        <w:szCs w:val="28"/>
      </w:rPr>
      <w:fldChar w:fldCharType="begin"/>
    </w:r>
    <w:r w:rsidR="00DE4393" w:rsidRPr="00C57CF6">
      <w:rPr>
        <w:rStyle w:val="a7"/>
        <w:sz w:val="28"/>
        <w:szCs w:val="28"/>
      </w:rPr>
      <w:instrText xml:space="preserve">PAGE  </w:instrText>
    </w:r>
    <w:r w:rsidRPr="00C57CF6">
      <w:rPr>
        <w:rStyle w:val="a7"/>
        <w:sz w:val="28"/>
        <w:szCs w:val="28"/>
      </w:rPr>
      <w:fldChar w:fldCharType="separate"/>
    </w:r>
    <w:r w:rsidR="00A17248">
      <w:rPr>
        <w:rStyle w:val="a7"/>
        <w:noProof/>
        <w:sz w:val="28"/>
        <w:szCs w:val="28"/>
      </w:rPr>
      <w:t>9</w:t>
    </w:r>
    <w:r w:rsidRPr="00C57CF6">
      <w:rPr>
        <w:rStyle w:val="a7"/>
        <w:sz w:val="28"/>
        <w:szCs w:val="28"/>
      </w:rPr>
      <w:fldChar w:fldCharType="end"/>
    </w:r>
  </w:p>
  <w:p w:rsidR="000B217B" w:rsidRPr="00C57CF6" w:rsidRDefault="000B217B">
    <w:pPr>
      <w:pStyle w:val="a5"/>
      <w:framePr w:wrap="auto" w:vAnchor="text" w:hAnchor="margin" w:xAlign="center" w:y="1"/>
      <w:rPr>
        <w:rStyle w:val="a7"/>
        <w:sz w:val="28"/>
        <w:szCs w:val="28"/>
      </w:rPr>
    </w:pPr>
  </w:p>
  <w:p w:rsidR="00DE4393" w:rsidRDefault="00DE4393" w:rsidP="000B217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850522"/>
    <w:multiLevelType w:val="hybridMultilevel"/>
    <w:tmpl w:val="1F6A9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4C0936"/>
    <w:multiLevelType w:val="hybridMultilevel"/>
    <w:tmpl w:val="8966B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F358D"/>
    <w:multiLevelType w:val="hybridMultilevel"/>
    <w:tmpl w:val="7D6E6872"/>
    <w:lvl w:ilvl="0" w:tplc="4D52CBF8">
      <w:start w:val="5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08D3"/>
    <w:rsid w:val="0001130D"/>
    <w:rsid w:val="000313C2"/>
    <w:rsid w:val="00033FF2"/>
    <w:rsid w:val="000400EE"/>
    <w:rsid w:val="00056992"/>
    <w:rsid w:val="000A5FB6"/>
    <w:rsid w:val="000B217B"/>
    <w:rsid w:val="001264F6"/>
    <w:rsid w:val="00135F66"/>
    <w:rsid w:val="001777A4"/>
    <w:rsid w:val="00202F8D"/>
    <w:rsid w:val="00203B95"/>
    <w:rsid w:val="0022497F"/>
    <w:rsid w:val="00232E5B"/>
    <w:rsid w:val="002424BC"/>
    <w:rsid w:val="00274226"/>
    <w:rsid w:val="00274447"/>
    <w:rsid w:val="002827CB"/>
    <w:rsid w:val="00287C15"/>
    <w:rsid w:val="002B3C4E"/>
    <w:rsid w:val="002C1F0D"/>
    <w:rsid w:val="002D0C2E"/>
    <w:rsid w:val="0033057D"/>
    <w:rsid w:val="00332004"/>
    <w:rsid w:val="003441B8"/>
    <w:rsid w:val="00353678"/>
    <w:rsid w:val="00355390"/>
    <w:rsid w:val="003616E5"/>
    <w:rsid w:val="00366EA7"/>
    <w:rsid w:val="003733A5"/>
    <w:rsid w:val="003A1018"/>
    <w:rsid w:val="003A12A7"/>
    <w:rsid w:val="003C4415"/>
    <w:rsid w:val="003D6804"/>
    <w:rsid w:val="00416E66"/>
    <w:rsid w:val="00424671"/>
    <w:rsid w:val="004308FE"/>
    <w:rsid w:val="004677E2"/>
    <w:rsid w:val="00485D62"/>
    <w:rsid w:val="0049730F"/>
    <w:rsid w:val="004C1458"/>
    <w:rsid w:val="004D5B26"/>
    <w:rsid w:val="00575726"/>
    <w:rsid w:val="00592703"/>
    <w:rsid w:val="005C6F99"/>
    <w:rsid w:val="00607509"/>
    <w:rsid w:val="00607A87"/>
    <w:rsid w:val="0062669B"/>
    <w:rsid w:val="00634AC6"/>
    <w:rsid w:val="00646193"/>
    <w:rsid w:val="00654CA2"/>
    <w:rsid w:val="00683CCB"/>
    <w:rsid w:val="006A0334"/>
    <w:rsid w:val="006D0529"/>
    <w:rsid w:val="0070005B"/>
    <w:rsid w:val="007301C8"/>
    <w:rsid w:val="007316B4"/>
    <w:rsid w:val="00733586"/>
    <w:rsid w:val="00755D33"/>
    <w:rsid w:val="0076005D"/>
    <w:rsid w:val="007722C9"/>
    <w:rsid w:val="007764BA"/>
    <w:rsid w:val="00797F02"/>
    <w:rsid w:val="007B1047"/>
    <w:rsid w:val="007B6B62"/>
    <w:rsid w:val="007C2BE0"/>
    <w:rsid w:val="00803BE1"/>
    <w:rsid w:val="008070D0"/>
    <w:rsid w:val="008161A0"/>
    <w:rsid w:val="008211C8"/>
    <w:rsid w:val="00823540"/>
    <w:rsid w:val="00827CAD"/>
    <w:rsid w:val="00836990"/>
    <w:rsid w:val="00852FF9"/>
    <w:rsid w:val="00866523"/>
    <w:rsid w:val="00872B41"/>
    <w:rsid w:val="008755B3"/>
    <w:rsid w:val="00882E15"/>
    <w:rsid w:val="008A0BBC"/>
    <w:rsid w:val="008A165E"/>
    <w:rsid w:val="008B1D24"/>
    <w:rsid w:val="008E1598"/>
    <w:rsid w:val="008F23C2"/>
    <w:rsid w:val="008F7127"/>
    <w:rsid w:val="00924368"/>
    <w:rsid w:val="00934B1C"/>
    <w:rsid w:val="00962C9F"/>
    <w:rsid w:val="009708D3"/>
    <w:rsid w:val="009A16CF"/>
    <w:rsid w:val="009C364E"/>
    <w:rsid w:val="009D76D8"/>
    <w:rsid w:val="009F2431"/>
    <w:rsid w:val="00A17248"/>
    <w:rsid w:val="00A2112B"/>
    <w:rsid w:val="00A369A2"/>
    <w:rsid w:val="00A459E5"/>
    <w:rsid w:val="00A5370A"/>
    <w:rsid w:val="00A62184"/>
    <w:rsid w:val="00A72AE7"/>
    <w:rsid w:val="00A970F3"/>
    <w:rsid w:val="00AA1C23"/>
    <w:rsid w:val="00AC2ED6"/>
    <w:rsid w:val="00AE2FEF"/>
    <w:rsid w:val="00B03838"/>
    <w:rsid w:val="00B32EB8"/>
    <w:rsid w:val="00B41114"/>
    <w:rsid w:val="00B66E79"/>
    <w:rsid w:val="00BB6E13"/>
    <w:rsid w:val="00BC14AC"/>
    <w:rsid w:val="00BD7493"/>
    <w:rsid w:val="00BE46A7"/>
    <w:rsid w:val="00C07778"/>
    <w:rsid w:val="00C5698F"/>
    <w:rsid w:val="00C57CF6"/>
    <w:rsid w:val="00C66766"/>
    <w:rsid w:val="00C704C5"/>
    <w:rsid w:val="00CB12D7"/>
    <w:rsid w:val="00CB517A"/>
    <w:rsid w:val="00CB7F6E"/>
    <w:rsid w:val="00CC5140"/>
    <w:rsid w:val="00CE6135"/>
    <w:rsid w:val="00CF4184"/>
    <w:rsid w:val="00D16BB3"/>
    <w:rsid w:val="00D845B4"/>
    <w:rsid w:val="00DB4B3B"/>
    <w:rsid w:val="00DB7835"/>
    <w:rsid w:val="00DC4E78"/>
    <w:rsid w:val="00DE4393"/>
    <w:rsid w:val="00DE58BA"/>
    <w:rsid w:val="00E05FF7"/>
    <w:rsid w:val="00E75E7E"/>
    <w:rsid w:val="00EC4AB7"/>
    <w:rsid w:val="00EF0379"/>
    <w:rsid w:val="00EF7DA4"/>
    <w:rsid w:val="00F02100"/>
    <w:rsid w:val="00F074D5"/>
    <w:rsid w:val="00F1253C"/>
    <w:rsid w:val="00F33CEC"/>
    <w:rsid w:val="00F809B4"/>
    <w:rsid w:val="00F95045"/>
    <w:rsid w:val="00FB18E1"/>
    <w:rsid w:val="00FC77F2"/>
    <w:rsid w:val="00FD481E"/>
    <w:rsid w:val="00FF07D3"/>
    <w:rsid w:val="00FF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D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53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4D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74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74D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F074D5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372C0"/>
    <w:rPr>
      <w:sz w:val="24"/>
      <w:szCs w:val="24"/>
    </w:rPr>
  </w:style>
  <w:style w:type="paragraph" w:styleId="a5">
    <w:name w:val="header"/>
    <w:basedOn w:val="a"/>
    <w:link w:val="a6"/>
    <w:uiPriority w:val="99"/>
    <w:rsid w:val="00F074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72C0"/>
    <w:rPr>
      <w:sz w:val="24"/>
      <w:szCs w:val="24"/>
    </w:rPr>
  </w:style>
  <w:style w:type="character" w:styleId="a7">
    <w:name w:val="page number"/>
    <w:basedOn w:val="a0"/>
    <w:uiPriority w:val="99"/>
    <w:rsid w:val="00F074D5"/>
  </w:style>
  <w:style w:type="paragraph" w:styleId="a8">
    <w:name w:val="Balloon Text"/>
    <w:basedOn w:val="a"/>
    <w:link w:val="a9"/>
    <w:uiPriority w:val="99"/>
    <w:semiHidden/>
    <w:rsid w:val="00F074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2C0"/>
    <w:rPr>
      <w:sz w:val="0"/>
      <w:szCs w:val="0"/>
    </w:rPr>
  </w:style>
  <w:style w:type="character" w:customStyle="1" w:styleId="apple-style-span">
    <w:name w:val="apple-style-span"/>
    <w:rsid w:val="00EF7DA4"/>
  </w:style>
  <w:style w:type="paragraph" w:styleId="aa">
    <w:name w:val="Body Text"/>
    <w:basedOn w:val="a"/>
    <w:link w:val="ab"/>
    <w:uiPriority w:val="99"/>
    <w:semiHidden/>
    <w:unhideWhenUsed/>
    <w:rsid w:val="00F1253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3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1253C"/>
    <w:rPr>
      <w:sz w:val="28"/>
      <w:szCs w:val="24"/>
    </w:rPr>
  </w:style>
  <w:style w:type="paragraph" w:customStyle="1" w:styleId="ac">
    <w:name w:val="Прижатый влево"/>
    <w:basedOn w:val="a"/>
    <w:next w:val="a"/>
    <w:rsid w:val="00F1253C"/>
    <w:pPr>
      <w:autoSpaceDE w:val="0"/>
      <w:autoSpaceDN w:val="0"/>
      <w:adjustRightInd w:val="0"/>
    </w:pPr>
    <w:rPr>
      <w:rFonts w:ascii="Arial" w:hAnsi="Arial"/>
    </w:rPr>
  </w:style>
  <w:style w:type="character" w:customStyle="1" w:styleId="ad">
    <w:name w:val="Гипертекстовая ссылка"/>
    <w:rsid w:val="00F1253C"/>
    <w:rPr>
      <w:rFonts w:cs="Times New Roman"/>
      <w:color w:val="106BBE"/>
      <w:sz w:val="26"/>
    </w:rPr>
  </w:style>
  <w:style w:type="paragraph" w:styleId="ae">
    <w:name w:val="footer"/>
    <w:basedOn w:val="a"/>
    <w:link w:val="af"/>
    <w:uiPriority w:val="99"/>
    <w:unhideWhenUsed/>
    <w:rsid w:val="00C57C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7C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68A5AA-757C-4D53-A4BF-A7E504A9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2307</Words>
  <Characters>18582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«КОМПЛЕКСНАЯ ПРОГРАММА</vt:lpstr>
    </vt:vector>
  </TitlesOfParts>
  <Company>Администрация</Company>
  <LinksUpToDate>false</LinksUpToDate>
  <CharactersWithSpaces>20848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«КОМПЛЕКСНАЯ ПРОГРАММА</dc:title>
  <dc:subject/>
  <dc:creator>Баженов </dc:creator>
  <cp:keywords/>
  <dc:description/>
  <cp:lastModifiedBy>Nastya</cp:lastModifiedBy>
  <cp:revision>60</cp:revision>
  <cp:lastPrinted>2021-12-07T12:09:00Z</cp:lastPrinted>
  <dcterms:created xsi:type="dcterms:W3CDTF">2010-11-10T05:41:00Z</dcterms:created>
  <dcterms:modified xsi:type="dcterms:W3CDTF">2021-12-07T12:09:00Z</dcterms:modified>
</cp:coreProperties>
</file>