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3"/>
        <w:gridCol w:w="4925"/>
      </w:tblGrid>
      <w:tr w:rsidR="00AA03B9" w:rsidRPr="00AA03B9" w:rsidTr="00AA03B9">
        <w:tc>
          <w:tcPr>
            <w:tcW w:w="4923" w:type="dxa"/>
          </w:tcPr>
          <w:p w:rsidR="00AA03B9" w:rsidRPr="00AA03B9" w:rsidRDefault="00AA03B9" w:rsidP="00AA03B9">
            <w:pPr>
              <w:tabs>
                <w:tab w:val="left" w:pos="26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925" w:type="dxa"/>
          </w:tcPr>
          <w:p w:rsidR="00AA03B9" w:rsidRPr="00AA03B9" w:rsidRDefault="00AA03B9" w:rsidP="00AA03B9">
            <w:pPr>
              <w:jc w:val="center"/>
              <w:rPr>
                <w:rStyle w:val="a3"/>
                <w:b w:val="0"/>
                <w:sz w:val="28"/>
                <w:szCs w:val="28"/>
              </w:rPr>
            </w:pPr>
            <w:bookmarkStart w:id="0" w:name="sub_100"/>
          </w:p>
          <w:p w:rsidR="00AA03B9" w:rsidRPr="00AA03B9" w:rsidRDefault="00AA03B9" w:rsidP="00AA03B9">
            <w:pPr>
              <w:jc w:val="center"/>
              <w:rPr>
                <w:rStyle w:val="a3"/>
                <w:b w:val="0"/>
                <w:sz w:val="28"/>
                <w:szCs w:val="28"/>
              </w:rPr>
            </w:pPr>
          </w:p>
          <w:p w:rsidR="00AA03B9" w:rsidRPr="00AA03B9" w:rsidRDefault="00AA03B9" w:rsidP="00AA03B9">
            <w:pPr>
              <w:jc w:val="center"/>
              <w:rPr>
                <w:rStyle w:val="a3"/>
                <w:b w:val="0"/>
                <w:sz w:val="28"/>
                <w:szCs w:val="28"/>
              </w:rPr>
            </w:pPr>
            <w:r w:rsidRPr="00AA03B9">
              <w:rPr>
                <w:rStyle w:val="a3"/>
                <w:b w:val="0"/>
                <w:sz w:val="28"/>
                <w:szCs w:val="28"/>
              </w:rPr>
              <w:t>ПРИЛОЖЕНИЕ</w:t>
            </w:r>
          </w:p>
          <w:p w:rsidR="00AA03B9" w:rsidRPr="00AA03B9" w:rsidRDefault="00AA03B9" w:rsidP="00AA03B9">
            <w:pPr>
              <w:jc w:val="center"/>
              <w:rPr>
                <w:rStyle w:val="a3"/>
                <w:b w:val="0"/>
                <w:sz w:val="28"/>
                <w:szCs w:val="28"/>
              </w:rPr>
            </w:pPr>
          </w:p>
          <w:p w:rsidR="00AA03B9" w:rsidRPr="00AA03B9" w:rsidRDefault="00AA03B9" w:rsidP="00AA03B9">
            <w:pPr>
              <w:jc w:val="center"/>
              <w:rPr>
                <w:sz w:val="28"/>
                <w:szCs w:val="28"/>
              </w:rPr>
            </w:pPr>
            <w:r w:rsidRPr="00AA03B9">
              <w:rPr>
                <w:rStyle w:val="a3"/>
                <w:b w:val="0"/>
                <w:sz w:val="28"/>
                <w:szCs w:val="28"/>
              </w:rPr>
              <w:t>УТВЕРЖДЕН</w:t>
            </w:r>
          </w:p>
          <w:bookmarkEnd w:id="0"/>
          <w:p w:rsidR="00AA03B9" w:rsidRPr="00AA03B9" w:rsidRDefault="004B4EF2" w:rsidP="00AA03B9">
            <w:pPr>
              <w:jc w:val="center"/>
              <w:rPr>
                <w:rStyle w:val="a3"/>
                <w:b w:val="0"/>
                <w:sz w:val="28"/>
                <w:szCs w:val="28"/>
              </w:rPr>
            </w:pPr>
            <w:r w:rsidRPr="00AA03B9">
              <w:rPr>
                <w:sz w:val="28"/>
                <w:szCs w:val="28"/>
              </w:rPr>
              <w:fldChar w:fldCharType="begin"/>
            </w:r>
            <w:r w:rsidR="00AA03B9" w:rsidRPr="00AA03B9">
              <w:rPr>
                <w:sz w:val="28"/>
                <w:szCs w:val="28"/>
              </w:rPr>
              <w:instrText>HYPERLINK "file:///C:\\Documents%20and%20Settings\\1\\Рабочий%20стол\\программа%20газификации.doc" \l "sub_0#sub_0"</w:instrText>
            </w:r>
            <w:r w:rsidRPr="00AA03B9">
              <w:rPr>
                <w:sz w:val="28"/>
                <w:szCs w:val="28"/>
              </w:rPr>
              <w:fldChar w:fldCharType="separate"/>
            </w:r>
            <w:r w:rsidR="00AA03B9" w:rsidRPr="00AA03B9">
              <w:rPr>
                <w:rStyle w:val="a4"/>
                <w:b w:val="0"/>
                <w:bCs w:val="0"/>
                <w:color w:val="000000" w:themeColor="text1"/>
                <w:sz w:val="28"/>
                <w:szCs w:val="28"/>
              </w:rPr>
              <w:t>постановлением</w:t>
            </w:r>
            <w:r w:rsidRPr="00AA03B9">
              <w:rPr>
                <w:sz w:val="28"/>
                <w:szCs w:val="28"/>
              </w:rPr>
              <w:fldChar w:fldCharType="end"/>
            </w:r>
            <w:r w:rsidR="00AA03B9" w:rsidRPr="00AA03B9">
              <w:rPr>
                <w:sz w:val="28"/>
                <w:szCs w:val="28"/>
              </w:rPr>
              <w:t xml:space="preserve"> </w:t>
            </w:r>
            <w:r w:rsidR="00AA03B9" w:rsidRPr="00AA03B9">
              <w:rPr>
                <w:rStyle w:val="a3"/>
                <w:b w:val="0"/>
                <w:sz w:val="28"/>
                <w:szCs w:val="28"/>
              </w:rPr>
              <w:t xml:space="preserve">администрации </w:t>
            </w:r>
            <w:r w:rsidR="000C565C">
              <w:rPr>
                <w:bCs/>
                <w:sz w:val="28"/>
                <w:szCs w:val="28"/>
              </w:rPr>
              <w:t>Запорожского</w:t>
            </w:r>
            <w:r w:rsidR="00AA03B9" w:rsidRPr="00AA03B9">
              <w:rPr>
                <w:rStyle w:val="a3"/>
                <w:b w:val="0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AA03B9" w:rsidRPr="00AA03B9" w:rsidRDefault="00AA03B9" w:rsidP="00AA03B9">
            <w:pPr>
              <w:jc w:val="center"/>
              <w:rPr>
                <w:sz w:val="28"/>
                <w:szCs w:val="28"/>
              </w:rPr>
            </w:pPr>
            <w:r w:rsidRPr="00AA03B9">
              <w:rPr>
                <w:rStyle w:val="a3"/>
                <w:b w:val="0"/>
                <w:sz w:val="28"/>
                <w:szCs w:val="28"/>
              </w:rPr>
              <w:t>от __________ № _________</w:t>
            </w:r>
          </w:p>
        </w:tc>
      </w:tr>
    </w:tbl>
    <w:p w:rsidR="00AA03B9" w:rsidRPr="00AA03B9" w:rsidRDefault="00AA03B9" w:rsidP="00AA03B9">
      <w:pPr>
        <w:tabs>
          <w:tab w:val="left" w:pos="26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A03B9" w:rsidRPr="00AA03B9" w:rsidRDefault="00AA03B9" w:rsidP="00AA03B9">
      <w:pPr>
        <w:pStyle w:val="a5"/>
        <w:rPr>
          <w:szCs w:val="28"/>
          <w:lang w:eastAsia="ar-SA"/>
        </w:rPr>
      </w:pPr>
    </w:p>
    <w:p w:rsidR="00AA03B9" w:rsidRPr="00AA03B9" w:rsidRDefault="00AA03B9" w:rsidP="00AA0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03B9">
        <w:rPr>
          <w:rFonts w:ascii="Times New Roman" w:hAnsi="Times New Roman" w:cs="Times New Roman"/>
          <w:bCs/>
          <w:sz w:val="28"/>
          <w:szCs w:val="28"/>
        </w:rPr>
        <w:t xml:space="preserve">Положение о порядке проведения </w:t>
      </w:r>
      <w:proofErr w:type="gramStart"/>
      <w:r w:rsidRPr="00AA03B9">
        <w:rPr>
          <w:rFonts w:ascii="Times New Roman" w:hAnsi="Times New Roman" w:cs="Times New Roman"/>
          <w:bCs/>
          <w:sz w:val="28"/>
          <w:szCs w:val="28"/>
        </w:rPr>
        <w:t>общественных</w:t>
      </w:r>
      <w:proofErr w:type="gramEnd"/>
    </w:p>
    <w:p w:rsidR="00AA03B9" w:rsidRPr="00AA03B9" w:rsidRDefault="00AA03B9" w:rsidP="00AA0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03B9">
        <w:rPr>
          <w:rFonts w:ascii="Times New Roman" w:hAnsi="Times New Roman" w:cs="Times New Roman"/>
          <w:bCs/>
          <w:sz w:val="28"/>
          <w:szCs w:val="28"/>
        </w:rPr>
        <w:t xml:space="preserve"> слушаний по вопросам установления публичных сервитутов </w:t>
      </w:r>
    </w:p>
    <w:p w:rsidR="00AA03B9" w:rsidRPr="00AA03B9" w:rsidRDefault="00AA03B9" w:rsidP="00AA0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03B9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AA03B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AA03B9" w:rsidRPr="00AA03B9" w:rsidRDefault="00AA03B9" w:rsidP="00AA0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03B9">
        <w:rPr>
          <w:rFonts w:ascii="Times New Roman" w:hAnsi="Times New Roman" w:cs="Times New Roman"/>
          <w:bCs/>
          <w:sz w:val="28"/>
          <w:szCs w:val="28"/>
        </w:rPr>
        <w:t xml:space="preserve">Темрюкского района 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1. Основные положения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1.1. Настоящее Положение разработано в соответствии с требованиями Земельного кодекса Российской Федерации, Гражданского кодекса Российской Федерации и регулирует порядок проведения общественных слушаний по установлению публичных сервитутов на земельный участок (земельные участки) в случаях, если это необходимо для обеспечения интересов местного самоуправления или местного населения на территории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1.2. Инициаторами установления публичного сервитута могут быть заинтересованные граждане, юридические лица, органы государственной власти Краснодарского края и органы местного самоуправления.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1.3. Участниками общественных слушаний могут быть: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4E1794">
        <w:rPr>
          <w:rFonts w:ascii="Times New Roman" w:hAnsi="Times New Roman" w:cs="Times New Roman"/>
          <w:bCs/>
          <w:sz w:val="28"/>
          <w:szCs w:val="28"/>
        </w:rPr>
        <w:t>правообладатель (правообладатели) земельного участка (земельных участков), в отношении которого (которых) предполагается установить публичный сервитут;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4E1794">
        <w:rPr>
          <w:rFonts w:ascii="Times New Roman" w:hAnsi="Times New Roman" w:cs="Times New Roman"/>
          <w:bCs/>
          <w:sz w:val="28"/>
          <w:szCs w:val="28"/>
        </w:rPr>
        <w:t>правообладатели земельных участков, имеющих общие границы с земельным участком, в отношении которого устанавливается публичный сервитут;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4E1794">
        <w:rPr>
          <w:rFonts w:ascii="Times New Roman" w:hAnsi="Times New Roman" w:cs="Times New Roman"/>
          <w:bCs/>
          <w:sz w:val="28"/>
          <w:szCs w:val="28"/>
        </w:rPr>
        <w:t>правообладатели объектов недвижимости и (или) объектов капитального строительства, расположенных на земельных участках, в отношении которых предполагается установление публичного сервитута, или имеющих общие границы с земельными участками, применительно к которым устанавливается публичный сервитут;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4E1794">
        <w:rPr>
          <w:rFonts w:ascii="Times New Roman" w:hAnsi="Times New Roman" w:cs="Times New Roman"/>
          <w:bCs/>
          <w:sz w:val="28"/>
          <w:szCs w:val="28"/>
        </w:rPr>
        <w:t>эксперты, которые в установленном порядке внесли в письменной форме свои рекомендации по вопросам слушаний;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Pr="004E1794">
        <w:rPr>
          <w:rFonts w:ascii="Times New Roman" w:hAnsi="Times New Roman" w:cs="Times New Roman"/>
          <w:bCs/>
          <w:sz w:val="28"/>
          <w:szCs w:val="28"/>
        </w:rPr>
        <w:t>заинтересованные жители соответствующей территории, представители общественных объединений, политических партий, органов государственной власти Краснодарского края, средств массовой информации и другие лица.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lastRenderedPageBreak/>
        <w:t>1.4. До сведения правообладателей земельных участков, которые предлагается обременить публичным сервитутом, информация о проведении общественных слушаний доводится в индивидуальном порядке путем направления уведомления о проведении общественных слушаний.</w:t>
      </w:r>
    </w:p>
    <w:p w:rsidR="00AA03B9" w:rsidRPr="00414F3A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1.5. </w:t>
      </w:r>
      <w:r w:rsidRPr="00414F3A">
        <w:rPr>
          <w:rFonts w:ascii="Times New Roman" w:hAnsi="Times New Roman" w:cs="Times New Roman"/>
          <w:sz w:val="28"/>
          <w:szCs w:val="28"/>
        </w:rPr>
        <w:t>Правообладатели земельных участков, которые предлагается обременить публичным сервитутом, имеют право письменно изложить свою позицию.</w:t>
      </w: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2. Цели установления публичных сервитутов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2.1. Публичные сервитуты могут устанавливаться </w:t>
      </w:r>
      <w:proofErr w:type="gramStart"/>
      <w:r w:rsidRPr="004E1794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4E1794">
        <w:rPr>
          <w:rFonts w:ascii="Times New Roman" w:hAnsi="Times New Roman" w:cs="Times New Roman"/>
          <w:bCs/>
          <w:sz w:val="28"/>
          <w:szCs w:val="28"/>
        </w:rPr>
        <w:t>: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4E1794">
        <w:rPr>
          <w:rFonts w:ascii="Times New Roman" w:hAnsi="Times New Roman" w:cs="Times New Roman"/>
          <w:bCs/>
          <w:sz w:val="28"/>
          <w:szCs w:val="28"/>
        </w:rPr>
        <w:t>прохода или проезда через земельный участок;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4E1794">
        <w:rPr>
          <w:rFonts w:ascii="Times New Roman" w:hAnsi="Times New Roman" w:cs="Times New Roman"/>
          <w:bCs/>
          <w:sz w:val="28"/>
          <w:szCs w:val="28"/>
        </w:rPr>
        <w:t>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4E1794">
        <w:rPr>
          <w:rFonts w:ascii="Times New Roman" w:hAnsi="Times New Roman" w:cs="Times New Roman"/>
          <w:bCs/>
          <w:sz w:val="28"/>
          <w:szCs w:val="28"/>
        </w:rPr>
        <w:t>размещения на земельном участке межевых и геодезических знаков и подъездов к ним;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4E1794">
        <w:rPr>
          <w:rFonts w:ascii="Times New Roman" w:hAnsi="Times New Roman" w:cs="Times New Roman"/>
          <w:bCs/>
          <w:sz w:val="28"/>
          <w:szCs w:val="28"/>
        </w:rPr>
        <w:t>проведения дренажных работ на земельном участке;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Pr="004E1794">
        <w:rPr>
          <w:rFonts w:ascii="Times New Roman" w:hAnsi="Times New Roman" w:cs="Times New Roman"/>
          <w:bCs/>
          <w:sz w:val="28"/>
          <w:szCs w:val="28"/>
        </w:rPr>
        <w:t>забора (изъятия) водных ресурсов из водных объектов и водопоя;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4E1794">
        <w:rPr>
          <w:rFonts w:ascii="Times New Roman" w:hAnsi="Times New Roman" w:cs="Times New Roman"/>
          <w:bCs/>
          <w:sz w:val="28"/>
          <w:szCs w:val="28"/>
        </w:rPr>
        <w:t>прогона сельскохозяйственных животных через земельный участок;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Pr="004E1794">
        <w:rPr>
          <w:rFonts w:ascii="Times New Roman" w:hAnsi="Times New Roman" w:cs="Times New Roman"/>
          <w:bCs/>
          <w:sz w:val="28"/>
          <w:szCs w:val="28"/>
        </w:rPr>
        <w:t>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8) </w:t>
      </w:r>
      <w:r w:rsidRPr="004E1794">
        <w:rPr>
          <w:rFonts w:ascii="Times New Roman" w:hAnsi="Times New Roman" w:cs="Times New Roman"/>
          <w:bCs/>
          <w:sz w:val="28"/>
          <w:szCs w:val="28"/>
        </w:rPr>
        <w:t>использования земельного участка в целях охоты и рыболовства;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временного пользования земельным участком в целях проведения изыскательских, исследовательских и других работ;</w:t>
      </w: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прокладки и эксплуатации линий электропередачи, связи и трубопроводов, обеспечения водоснабжения и мелиорации, а также других нужд собственника недвижимого имущества, которые не могут быть обеспечены без установления сервитута.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3. Сфера распространения публичного сервитута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3.1. Публичными сервитутами могут быть </w:t>
      </w:r>
      <w:proofErr w:type="gramStart"/>
      <w:r w:rsidRPr="004E1794">
        <w:rPr>
          <w:rFonts w:ascii="Times New Roman" w:hAnsi="Times New Roman" w:cs="Times New Roman"/>
          <w:bCs/>
          <w:sz w:val="28"/>
          <w:szCs w:val="28"/>
        </w:rPr>
        <w:t>обременены</w:t>
      </w:r>
      <w:proofErr w:type="gramEnd"/>
      <w:r w:rsidRPr="004E1794">
        <w:rPr>
          <w:rFonts w:ascii="Times New Roman" w:hAnsi="Times New Roman" w:cs="Times New Roman"/>
          <w:bCs/>
          <w:sz w:val="28"/>
          <w:szCs w:val="28"/>
        </w:rPr>
        <w:t>: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земельные участки;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части земельных участков, в том числе подземные сооружения;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4E1794">
        <w:rPr>
          <w:rFonts w:ascii="Times New Roman" w:hAnsi="Times New Roman" w:cs="Times New Roman"/>
          <w:bCs/>
          <w:sz w:val="28"/>
          <w:szCs w:val="28"/>
        </w:rPr>
        <w:t>здания, сооружения и другое недвижимое имущество, ограниченное пользование которым необходимо вне связи с пользованием земельным участком.</w:t>
      </w:r>
    </w:p>
    <w:p w:rsidR="00DB3315" w:rsidRDefault="00DB3315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3315" w:rsidRDefault="00DB3315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3315" w:rsidRDefault="00DB3315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3315" w:rsidRPr="004E1794" w:rsidRDefault="00DB3315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lastRenderedPageBreak/>
        <w:t>4. Порядок проведения общественных слушаний для установления</w:t>
      </w: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публичных сервитутов и порядок их прекращения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 4.1. Для принятия администрацией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 решения о проведении общественных слушаний заинтересованное лицо (лица) обращается с заявлением об установлении публичного сервитута в администрацию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района. В заявлении указываются цели установления, содержание и срок действия сервитута, обоснование необходимости его установления, сведения о правообладателях земельных участков, которые предлагается обременить сервитутом, а также круг лиц, в интересах которых устанавливается сервитут.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4.2. </w:t>
      </w:r>
      <w:proofErr w:type="gramStart"/>
      <w:r w:rsidRPr="004E1794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Темрюкского </w:t>
      </w:r>
      <w:r w:rsidRPr="004E1794">
        <w:rPr>
          <w:rFonts w:ascii="Times New Roman" w:hAnsi="Times New Roman" w:cs="Times New Roman"/>
          <w:bCs/>
          <w:sz w:val="28"/>
          <w:szCs w:val="28"/>
        </w:rPr>
        <w:t>района рассматривает заявление заинтересованного лица об установлении публичного сервитута при наличии кадастровых паспортов земельных участков, а также схемы расположения земельных участков, предполагаемых для обременения сервитутом, на кадастровом плане территории или кадастровой выписке о земельном участке с обозначенными зонами действия планируемого публичного сервитута, назначает проведение общественных слушаний об установлении сервитута или направляет мотивированный отказ заявителю.</w:t>
      </w:r>
      <w:proofErr w:type="gramEnd"/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4.3. Общественные слушания по вопросам установления публичных сервитутов назначаются муниципальным нормативным правовым актом администрации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района. </w:t>
      </w:r>
      <w:proofErr w:type="gramStart"/>
      <w:r w:rsidRPr="004E1794">
        <w:rPr>
          <w:rFonts w:ascii="Times New Roman" w:hAnsi="Times New Roman" w:cs="Times New Roman"/>
          <w:bCs/>
          <w:sz w:val="28"/>
          <w:szCs w:val="28"/>
        </w:rPr>
        <w:t xml:space="preserve">Указанный муниципальный нормативный правовой акт администрации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 подлежит опубликованию в средствах массовой информации, перечень которых утверждается высшим исполнительным органом государственной власти Краснодарского края, не менее чем за 30 дней до проведения указанных слушаний, и подлежит размещению в информационно-телекоммуникационной сети Интернет на официальном сайте администрации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="000C565C" w:rsidRPr="004E17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Темрюкского района. </w:t>
      </w:r>
      <w:proofErr w:type="gramEnd"/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E1794">
        <w:rPr>
          <w:rFonts w:ascii="Times New Roman" w:hAnsi="Times New Roman" w:cs="Times New Roman"/>
          <w:bCs/>
          <w:sz w:val="28"/>
          <w:szCs w:val="28"/>
        </w:rPr>
        <w:t>Опубликованию в средствах массовой информации подлежит информация о времени и месте проведения общественных слушаний, о земельных участках, в отношении которых предполагается установить публичный сервитут, о правообладателях земельных участков, о цели, содержании и сроке установления публичного сервитута, схема расположения земельных участков, предполагаемых для обременения сервитутом, на кадастровом плане территории или кадастровой выписке о земельном участке с обозначенными зонами действия планируемого публичного</w:t>
      </w:r>
      <w:proofErr w:type="gramEnd"/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сервитута, а также адрес официального сайта администрации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 в информационно-телекоммуникационной сети Интернет, на котором размещена полная информация о подготовке и проведении слуша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ний. 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4.4. В тексте муниципального нормативного правового акта администрации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 указываются: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вопросов, выносимых на обсуждение общественных слушаний;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дата, время и место проведения слушаний;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место и время ознакомления с материалами по установлению публичных сервитутов;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сведения о необходимости опубликования объявления о проведении общественных слушаний в средствах массовой информации;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срок предоставления замечаний и предложений от лиц, чьи интересы затрагиваются при установлении публичных сервитутов.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4.5. Правообладатели земельных участков, которые предлагается обременить публичным сервитутом, имеют право письменно изложить свою позицию в отношении установления публичного сервитута.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4.6. Участие в общественных слушаниях по установлению публичного сервитута носит добровольный характер.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4.7. Участники общественных слушаний проходят регистрацию непосредственно в день проведения общественных слушаний.</w:t>
      </w: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4.8. На общественных слушаниях принимается решение о необходимости и целесообразности установления публичного сервитута с учетом зоны его действия, цели, содержания и срока установления.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5. Процедура проведения общественных слушаний</w:t>
      </w: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по установлению публичного сервитута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>5.1. Органом, уполномоченным на проведение общественных слушаний по установлению публичного сервитута, является комиссия по проведению общественных слушаний по установлению публичных сервитутов (далее - Комиссия).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5.2. Состав Комиссии определяется правовым актом администрации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  <w:r w:rsidRPr="009F00D5">
        <w:rPr>
          <w:rFonts w:ascii="Arial" w:hAnsi="Arial" w:cs="Arial"/>
          <w:sz w:val="24"/>
          <w:szCs w:val="24"/>
        </w:rPr>
        <w:t xml:space="preserve"> 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00D5">
        <w:rPr>
          <w:rFonts w:ascii="Times New Roman" w:hAnsi="Times New Roman" w:cs="Times New Roman"/>
          <w:sz w:val="28"/>
          <w:szCs w:val="28"/>
        </w:rPr>
        <w:t>Комиссия в процессе подготовки к общественным слушаниям: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Pr="009F00D5">
        <w:rPr>
          <w:rFonts w:ascii="Times New Roman" w:hAnsi="Times New Roman" w:cs="Times New Roman"/>
          <w:sz w:val="28"/>
          <w:szCs w:val="28"/>
        </w:rPr>
        <w:t xml:space="preserve">составляет план работы по подготовке и проведению общественных слушаний; 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F00D5">
        <w:rPr>
          <w:rFonts w:ascii="Times New Roman" w:hAnsi="Times New Roman" w:cs="Times New Roman"/>
          <w:sz w:val="28"/>
          <w:szCs w:val="28"/>
        </w:rPr>
        <w:t>публикует объявление о проведении общественных слушаний;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F00D5">
        <w:rPr>
          <w:rFonts w:ascii="Times New Roman" w:hAnsi="Times New Roman" w:cs="Times New Roman"/>
          <w:sz w:val="28"/>
          <w:szCs w:val="28"/>
        </w:rPr>
        <w:t>определяет список заинтересованных лиц, специалистов, представителей общественности и направляет им обращения с просьбой дать свои предложения;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F00D5">
        <w:rPr>
          <w:rFonts w:ascii="Times New Roman" w:hAnsi="Times New Roman" w:cs="Times New Roman"/>
          <w:sz w:val="28"/>
          <w:szCs w:val="28"/>
        </w:rPr>
        <w:t>определяет председательствующего и секретаря общественных слушаний.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204">
        <w:rPr>
          <w:rFonts w:ascii="Times New Roman" w:hAnsi="Times New Roman" w:cs="Times New Roman"/>
          <w:sz w:val="28"/>
          <w:szCs w:val="28"/>
        </w:rPr>
        <w:lastRenderedPageBreak/>
        <w:t>Участники общественных слушаний проходят регистрацию. На общественных слушаниях принимается решение о необходимости и целесообразности установления публичного сервитута с учетом зоны его действия, цели, содержания и срока установления.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5.3</w:t>
      </w:r>
      <w:r w:rsidRPr="003B0204">
        <w:rPr>
          <w:rFonts w:ascii="Times New Roman" w:hAnsi="Times New Roman" w:cs="Times New Roman"/>
          <w:sz w:val="28"/>
          <w:szCs w:val="28"/>
        </w:rPr>
        <w:t>. Общественные слушания включают: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3B0204">
        <w:rPr>
          <w:rFonts w:ascii="Times New Roman" w:hAnsi="Times New Roman" w:cs="Times New Roman"/>
          <w:sz w:val="28"/>
          <w:szCs w:val="28"/>
        </w:rPr>
        <w:t>выступление председательствующего общественных слушаний;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3B0204">
        <w:rPr>
          <w:rFonts w:ascii="Times New Roman" w:hAnsi="Times New Roman" w:cs="Times New Roman"/>
          <w:sz w:val="28"/>
          <w:szCs w:val="28"/>
        </w:rPr>
        <w:t>вопросы присутствующих и ответы на них;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3B0204">
        <w:rPr>
          <w:rFonts w:ascii="Times New Roman" w:hAnsi="Times New Roman" w:cs="Times New Roman"/>
          <w:sz w:val="28"/>
          <w:szCs w:val="28"/>
        </w:rPr>
        <w:t>выступления присутствующих;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3B0204">
        <w:rPr>
          <w:rFonts w:ascii="Times New Roman" w:hAnsi="Times New Roman" w:cs="Times New Roman"/>
          <w:sz w:val="28"/>
          <w:szCs w:val="28"/>
        </w:rPr>
        <w:t>голосование присутствующих по вопросу общественных слушаний;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Pr="003B0204">
        <w:rPr>
          <w:rFonts w:ascii="Times New Roman" w:hAnsi="Times New Roman" w:cs="Times New Roman"/>
          <w:sz w:val="28"/>
          <w:szCs w:val="28"/>
        </w:rPr>
        <w:t>определение результатов общественных слушаний.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5.4</w:t>
      </w:r>
      <w:r w:rsidRPr="004E1794">
        <w:rPr>
          <w:rFonts w:ascii="Times New Roman" w:hAnsi="Times New Roman" w:cs="Times New Roman"/>
          <w:bCs/>
          <w:sz w:val="28"/>
          <w:szCs w:val="28"/>
        </w:rPr>
        <w:t>. Председатель Комиссии открывает слушания, оглашает тему слушаний, определяет время выступления участников слушаний, знакомит участников слушаний с материалами, объявляет замечания, предложения, поступившие от лиц, чьи интересы при установлении публичного сервитута могут быть затронуты.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5.5</w:t>
      </w:r>
      <w:r w:rsidRPr="004E1794">
        <w:rPr>
          <w:rFonts w:ascii="Times New Roman" w:hAnsi="Times New Roman" w:cs="Times New Roman"/>
          <w:bCs/>
          <w:sz w:val="28"/>
          <w:szCs w:val="28"/>
        </w:rPr>
        <w:t>. Секретарь общественных слушаний ведет протокол общественных слушаний, в котором указываются дата и место их проведения, число участников общественных слушаний, содержание их выступлений, результаты голосования и принятые решения. К протоколу прилагаются списки участников общественных слушаний.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5.6</w:t>
      </w:r>
      <w:r w:rsidRPr="004E1794">
        <w:rPr>
          <w:rFonts w:ascii="Times New Roman" w:hAnsi="Times New Roman" w:cs="Times New Roman"/>
          <w:bCs/>
          <w:sz w:val="28"/>
          <w:szCs w:val="28"/>
        </w:rPr>
        <w:t>. Протокол общественных слушаний составляется в двух экземплярах и подписывается председательствующим и секретарем общественных слушаний.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5.7</w:t>
      </w:r>
      <w:r w:rsidRPr="004E1794">
        <w:rPr>
          <w:rFonts w:ascii="Times New Roman" w:hAnsi="Times New Roman" w:cs="Times New Roman"/>
          <w:bCs/>
          <w:sz w:val="28"/>
          <w:szCs w:val="28"/>
        </w:rPr>
        <w:t>. Решения принимаются большинством голосов от числа зарегистрированных участников общественных слушаний.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5.8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. Протокол общественных слушаний в течение трех рабочих дней представляется в администрацию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5.9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. Информация о результатах общественных слушаний подлежит опубликованию в средствах массовой информации, перечень которых утверждается высшим исполнительным органом государственной власти Краснодарского края, подлежит размещению в информационно-телекоммуникационной сети Интернет на официальном сайте администрации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Темрюкского</w:t>
      </w: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AA03B9" w:rsidRPr="004E1794" w:rsidRDefault="00AA03B9" w:rsidP="00AA0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B0204">
        <w:rPr>
          <w:rFonts w:ascii="Times New Roman" w:hAnsi="Times New Roman" w:cs="Times New Roman"/>
          <w:sz w:val="28"/>
          <w:szCs w:val="28"/>
        </w:rPr>
        <w:t xml:space="preserve">Содержание нормативного правового </w:t>
      </w:r>
      <w:r>
        <w:rPr>
          <w:rFonts w:ascii="Times New Roman" w:hAnsi="Times New Roman" w:cs="Times New Roman"/>
          <w:sz w:val="28"/>
          <w:szCs w:val="28"/>
        </w:rPr>
        <w:t xml:space="preserve">акта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AA03B9" w:rsidRPr="003B0204" w:rsidRDefault="00AA03B9" w:rsidP="00AA03B9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публичного </w:t>
      </w:r>
      <w:r w:rsidRPr="003B0204">
        <w:rPr>
          <w:rFonts w:ascii="Times New Roman" w:hAnsi="Times New Roman" w:cs="Times New Roman"/>
          <w:sz w:val="28"/>
          <w:szCs w:val="28"/>
        </w:rPr>
        <w:t>сервитута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B0204">
        <w:rPr>
          <w:rFonts w:ascii="Times New Roman" w:hAnsi="Times New Roman" w:cs="Times New Roman"/>
          <w:sz w:val="28"/>
          <w:szCs w:val="28"/>
        </w:rPr>
        <w:t>1. Нормативный правовой акт об установлении публичного сервитута должен содержать сведения о: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204">
        <w:rPr>
          <w:rFonts w:ascii="Times New Roman" w:hAnsi="Times New Roman" w:cs="Times New Roman"/>
          <w:sz w:val="28"/>
          <w:szCs w:val="28"/>
        </w:rPr>
        <w:t xml:space="preserve">1) земельном </w:t>
      </w:r>
      <w:proofErr w:type="gramStart"/>
      <w:r w:rsidRPr="003B0204">
        <w:rPr>
          <w:rFonts w:ascii="Times New Roman" w:hAnsi="Times New Roman" w:cs="Times New Roman"/>
          <w:sz w:val="28"/>
          <w:szCs w:val="28"/>
        </w:rPr>
        <w:t>участке</w:t>
      </w:r>
      <w:proofErr w:type="gramEnd"/>
      <w:r w:rsidRPr="003B0204">
        <w:rPr>
          <w:rFonts w:ascii="Times New Roman" w:hAnsi="Times New Roman" w:cs="Times New Roman"/>
          <w:sz w:val="28"/>
          <w:szCs w:val="28"/>
        </w:rPr>
        <w:t>, обременяемом публичным сервитутом (местонахождение, кадастровый номер, площадь, категория земель, разрешенное использование);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204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gramStart"/>
      <w:r w:rsidRPr="003B0204">
        <w:rPr>
          <w:rFonts w:ascii="Times New Roman" w:hAnsi="Times New Roman" w:cs="Times New Roman"/>
          <w:sz w:val="28"/>
          <w:szCs w:val="28"/>
        </w:rPr>
        <w:t>собственнике</w:t>
      </w:r>
      <w:proofErr w:type="gramEnd"/>
      <w:r w:rsidRPr="003B0204">
        <w:rPr>
          <w:rFonts w:ascii="Times New Roman" w:hAnsi="Times New Roman" w:cs="Times New Roman"/>
          <w:sz w:val="28"/>
          <w:szCs w:val="28"/>
        </w:rPr>
        <w:t>, землепользователе, землевладельце, арендаторе соответствующего земельного участка;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0204">
        <w:rPr>
          <w:rFonts w:ascii="Times New Roman" w:hAnsi="Times New Roman" w:cs="Times New Roman"/>
          <w:sz w:val="28"/>
          <w:szCs w:val="28"/>
        </w:rPr>
        <w:t>3) содержании публичного сервитута и зоне его действия (в том числе о части земельного участка, которая должна быть обособлена (обозначена), если это возможно, для осуществления заинтересованными лицами права ограниченного пользования земельным участком);</w:t>
      </w:r>
      <w:proofErr w:type="gramEnd"/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204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3B0204">
        <w:rPr>
          <w:rFonts w:ascii="Times New Roman" w:hAnsi="Times New Roman" w:cs="Times New Roman"/>
          <w:sz w:val="28"/>
          <w:szCs w:val="28"/>
        </w:rPr>
        <w:t>сроке</w:t>
      </w:r>
      <w:proofErr w:type="gramEnd"/>
      <w:r w:rsidRPr="003B0204">
        <w:rPr>
          <w:rFonts w:ascii="Times New Roman" w:hAnsi="Times New Roman" w:cs="Times New Roman"/>
          <w:sz w:val="28"/>
          <w:szCs w:val="28"/>
        </w:rPr>
        <w:t xml:space="preserve"> действия публичного сервитута;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204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3B0204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3B0204">
        <w:rPr>
          <w:rFonts w:ascii="Times New Roman" w:hAnsi="Times New Roman" w:cs="Times New Roman"/>
          <w:sz w:val="28"/>
          <w:szCs w:val="28"/>
        </w:rPr>
        <w:t xml:space="preserve"> установления публичного сервитута.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B0204">
        <w:rPr>
          <w:rFonts w:ascii="Times New Roman" w:hAnsi="Times New Roman" w:cs="Times New Roman"/>
          <w:sz w:val="28"/>
          <w:szCs w:val="28"/>
        </w:rPr>
        <w:t>2. Нормативный правовой акт об установлении публичного сервитута для прохода или проезда через земельный участок обязывает владельца земельного участка не препятствовать проходу или проезду по земельному участку.</w:t>
      </w:r>
    </w:p>
    <w:p w:rsidR="00AA03B9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B0204">
        <w:rPr>
          <w:rFonts w:ascii="Times New Roman" w:hAnsi="Times New Roman" w:cs="Times New Roman"/>
          <w:sz w:val="28"/>
          <w:szCs w:val="28"/>
        </w:rPr>
        <w:t xml:space="preserve">3. Нормативный правовой акт об установлении публичного сервитута для ремонта коммунальных, инженерных, электрических линий и сетей,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аварийно-восстановительных работ, работ по предотвращению возникновения чрезвычайных ситуаций, ремонта, обслуживания и </w:t>
      </w:r>
      <w:proofErr w:type="gramStart"/>
      <w:r w:rsidRPr="003B0204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Pr="003B0204">
        <w:rPr>
          <w:rFonts w:ascii="Times New Roman" w:hAnsi="Times New Roman" w:cs="Times New Roman"/>
          <w:sz w:val="28"/>
          <w:szCs w:val="28"/>
        </w:rPr>
        <w:t xml:space="preserve"> расположенных на земельном участке подземных коммуникаций и сооружений, а также доступа на участок для этого специалистов соответствующих эксплуатирующих и других специализированных организаций, строительной и специальной техники.</w:t>
      </w:r>
    </w:p>
    <w:p w:rsidR="00AA03B9" w:rsidRPr="00236B67" w:rsidRDefault="00AA03B9" w:rsidP="00AA0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B0204">
        <w:rPr>
          <w:rFonts w:ascii="Times New Roman" w:hAnsi="Times New Roman" w:cs="Times New Roman"/>
          <w:sz w:val="28"/>
          <w:szCs w:val="28"/>
        </w:rPr>
        <w:t xml:space="preserve">4. Нормативный правовой акт об установлении публичного сервитута для временного пользования земельным участком в целях проведения изыскательских, исследовательских и других работ устанавливает обязанности организации, осуществляющей такие работы, по восстановлению нарушенного поверхностного </w:t>
      </w:r>
      <w:r w:rsidRPr="00236B67">
        <w:rPr>
          <w:rFonts w:ascii="Times New Roman" w:hAnsi="Times New Roman" w:cs="Times New Roman"/>
          <w:sz w:val="28"/>
          <w:szCs w:val="28"/>
        </w:rPr>
        <w:t>слоя земельного участка, а также по уборке территории.</w:t>
      </w:r>
    </w:p>
    <w:p w:rsidR="00AA03B9" w:rsidRPr="00236B67" w:rsidRDefault="00AA03B9" w:rsidP="00AA0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03B9" w:rsidRPr="00236B67" w:rsidRDefault="00AA03B9" w:rsidP="00AA0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3315" w:rsidRDefault="00AA03B9" w:rsidP="00AA0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6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C565C">
        <w:rPr>
          <w:rFonts w:ascii="Times New Roman" w:hAnsi="Times New Roman" w:cs="Times New Roman"/>
          <w:bCs/>
          <w:sz w:val="28"/>
          <w:szCs w:val="28"/>
        </w:rPr>
        <w:t>Запорожского</w:t>
      </w:r>
      <w:r w:rsidRPr="00236B6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B3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AA03B9" w:rsidRPr="00236B67" w:rsidRDefault="00AA03B9" w:rsidP="00AA0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236B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B331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C565C">
        <w:rPr>
          <w:rFonts w:ascii="Times New Roman" w:hAnsi="Times New Roman" w:cs="Times New Roman"/>
          <w:sz w:val="28"/>
          <w:szCs w:val="28"/>
        </w:rPr>
        <w:t xml:space="preserve">Н.Г. </w:t>
      </w:r>
      <w:bookmarkStart w:id="1" w:name="_GoBack"/>
      <w:bookmarkEnd w:id="1"/>
      <w:r w:rsidR="000C565C">
        <w:rPr>
          <w:rFonts w:ascii="Times New Roman" w:hAnsi="Times New Roman" w:cs="Times New Roman"/>
          <w:sz w:val="28"/>
          <w:szCs w:val="28"/>
        </w:rPr>
        <w:t>Колодина</w:t>
      </w:r>
    </w:p>
    <w:p w:rsidR="00AA03B9" w:rsidRPr="00236B67" w:rsidRDefault="00AA03B9" w:rsidP="00AA0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181B" w:rsidRDefault="00AA03B9" w:rsidP="00AA03B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4E1794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sectPr w:rsidR="008E181B" w:rsidSect="00AA03B9">
      <w:headerReference w:type="default" r:id="rId6"/>
      <w:pgSz w:w="11900" w:h="16800"/>
      <w:pgMar w:top="28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A3B" w:rsidRDefault="00C83A3B" w:rsidP="00AA03B9">
      <w:pPr>
        <w:spacing w:after="0" w:line="240" w:lineRule="auto"/>
      </w:pPr>
      <w:r>
        <w:separator/>
      </w:r>
    </w:p>
  </w:endnote>
  <w:endnote w:type="continuationSeparator" w:id="0">
    <w:p w:rsidR="00C83A3B" w:rsidRDefault="00C83A3B" w:rsidP="00AA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A3B" w:rsidRDefault="00C83A3B" w:rsidP="00AA03B9">
      <w:pPr>
        <w:spacing w:after="0" w:line="240" w:lineRule="auto"/>
      </w:pPr>
      <w:r>
        <w:separator/>
      </w:r>
    </w:p>
  </w:footnote>
  <w:footnote w:type="continuationSeparator" w:id="0">
    <w:p w:rsidR="00C83A3B" w:rsidRDefault="00C83A3B" w:rsidP="00AA0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988813"/>
      <w:docPartObj>
        <w:docPartGallery w:val="Page Numbers (Top of Page)"/>
        <w:docPartUnique/>
      </w:docPartObj>
    </w:sdtPr>
    <w:sdtContent>
      <w:p w:rsidR="00AA03B9" w:rsidRDefault="004B4EF2">
        <w:pPr>
          <w:pStyle w:val="a8"/>
          <w:jc w:val="center"/>
        </w:pPr>
        <w:r w:rsidRPr="00AA03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03B9" w:rsidRPr="00AA03B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A03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331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A03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03B9" w:rsidRDefault="00AA03B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3B9"/>
    <w:rsid w:val="000966FA"/>
    <w:rsid w:val="000C565C"/>
    <w:rsid w:val="0022487F"/>
    <w:rsid w:val="00492592"/>
    <w:rsid w:val="004B4EF2"/>
    <w:rsid w:val="00582199"/>
    <w:rsid w:val="00590628"/>
    <w:rsid w:val="005A09D8"/>
    <w:rsid w:val="007B15A7"/>
    <w:rsid w:val="008E181B"/>
    <w:rsid w:val="00A66215"/>
    <w:rsid w:val="00AA03B9"/>
    <w:rsid w:val="00C4416F"/>
    <w:rsid w:val="00C83A3B"/>
    <w:rsid w:val="00CB1BA1"/>
    <w:rsid w:val="00DB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A03B9"/>
    <w:rPr>
      <w:b/>
      <w:bCs/>
      <w:color w:val="26282F"/>
    </w:rPr>
  </w:style>
  <w:style w:type="character" w:customStyle="1" w:styleId="a4">
    <w:name w:val="Гипертекстовая ссылка"/>
    <w:basedOn w:val="a3"/>
    <w:rsid w:val="00AA03B9"/>
    <w:rPr>
      <w:b/>
      <w:bCs/>
      <w:color w:val="106BBE"/>
    </w:rPr>
  </w:style>
  <w:style w:type="paragraph" w:styleId="a5">
    <w:name w:val="Body Text"/>
    <w:basedOn w:val="a"/>
    <w:link w:val="a6"/>
    <w:semiHidden/>
    <w:rsid w:val="00AA03B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AA03B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AA03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A0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03B9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A0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A03B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1890</Words>
  <Characters>10777</Characters>
  <Application>Microsoft Office Word</Application>
  <DocSecurity>0</DocSecurity>
  <Lines>89</Lines>
  <Paragraphs>25</Paragraphs>
  <ScaleCrop>false</ScaleCrop>
  <Company>MultiDVD Team</Company>
  <LinksUpToDate>false</LinksUpToDate>
  <CharactersWithSpaces>12642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5</cp:revision>
  <dcterms:created xsi:type="dcterms:W3CDTF">2015-09-09T12:37:00Z</dcterms:created>
  <dcterms:modified xsi:type="dcterms:W3CDTF">2015-10-02T10:49:00Z</dcterms:modified>
</cp:coreProperties>
</file>